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3A7D44"/>
          <w:sz w:val="18"/>
          <w:szCs w:val="18"/>
        </w:rPr>
        <w:t xml:space="preserve">EARTH5R GUIDES · MODEL TEMPLATE</w:t>
      </w:r>
    </w:p>
    <w:p>
      <w:pPr>
        <w:pStyle w:val="Title"/>
      </w:pPr>
      <w:r>
        <w:rPr>
          <w:b/>
          <w:bCs/>
          <w:sz w:val="38"/>
          <w:szCs w:val="38"/>
        </w:rPr>
        <w:t xml:space="preserve">[Company name] BRSR Reporting Manual</w:t>
      </w:r>
    </w:p>
    <w:p>
      <w:pPr>
        <w:spacing w:after="200"/>
      </w:pPr>
      <w:r>
        <w:rPr>
          <w:i/>
          <w:iCs/>
          <w:color w:val="555555"/>
          <w:sz w:val="22"/>
          <w:szCs w:val="22"/>
        </w:rPr>
        <w:t xml:space="preserve">Model manual for preparing the Business Responsibility and Sustainability Report and BRSR Core disclosures</w:t>
      </w:r>
    </w:p>
    <w:p>
      <w:pPr>
        <w:shd w:fill="E9F2EA" w:color="auto" w:val="clear"/>
        <w:spacing w:after="120"/>
      </w:pPr>
      <w:r>
        <w:rPr>
          <w:sz w:val="19"/>
          <w:szCs w:val="19"/>
        </w:rPr>
        <w:t xml:space="preserve">How to use this template: replace every item in [square brackets], delete what does not apply, and have it approved by [the Board / Audit Committee / ESG Committee]. It reflects the SEBI LODR Master Circular (updated 30 January 2026), including the March 2025 changes to BRSR Core and value chain disclosures. Follow the Industry Standards on BRSR Core for KPI definitions. Not legal or assurance advice.</w:t>
      </w:r>
    </w:p>
    <w:p>
      <w:pPr>
        <w:shd w:fill="E9F2EA" w:color="auto" w:val="clear"/>
        <w:spacing w:after="300"/>
      </w:pPr>
      <w:r>
        <w:rPr>
          <w:sz w:val="19"/>
          <w:szCs w:val="19"/>
        </w:rPr>
        <w:t xml:space="preserve">Free to use and adapt, with credit: </w:t>
      </w:r>
      <w:hyperlink w:history="1" r:id="rIdxevmtvtldn23bhx3furnx">
        <w:r>
          <w:rPr>
            <w:rStyle w:val="Hyperlink"/>
            <w:sz w:val="19"/>
            <w:szCs w:val="19"/>
          </w:rPr>
          <w:t xml:space="preserve">BRSR and BRSR Core Guide, Earth5R Guides No. 06</w:t>
        </w:r>
      </w:hyperlink>
    </w:p>
    <w:p>
      <w:pPr>
        <w:pStyle w:val="Heading1"/>
        <w:spacing w:after="100" w:before="240"/>
      </w:pPr>
      <w:r>
        <w:rPr>
          <w:b/>
          <w:bCs/>
          <w:color w:val="24552C"/>
          <w:sz w:val="26"/>
          <w:szCs w:val="26"/>
        </w:rPr>
        <w:t xml:space="preserve">1. Purpose</w:t>
      </w:r>
    </w:p>
    <w:p>
      <w:pPr>
        <w:spacing w:after="120"/>
      </w:pPr>
      <w:r>
        <w:rPr>
          <w:sz w:val="21"/>
          <w:szCs w:val="21"/>
        </w:rPr>
        <w:t xml:space="preserve">This manual sets out how [Company name] ("the Company") prepares its Business Responsibility and Sustainability Report (BRSR), including the BRSR Core, so that the figures are complete, accurate, consistent from year to year and ready for independent assessment or assurance.</w:t>
      </w:r>
    </w:p>
    <w:p>
      <w:pPr>
        <w:pStyle w:val="Heading1"/>
        <w:spacing w:after="100" w:before="240"/>
      </w:pPr>
      <w:r>
        <w:rPr>
          <w:b/>
          <w:bCs/>
          <w:color w:val="24552C"/>
          <w:sz w:val="26"/>
          <w:szCs w:val="26"/>
        </w:rPr>
        <w:t xml:space="preserve">2. Regulatory basis</w:t>
      </w:r>
    </w:p>
    <w:p>
      <w:pPr>
        <w:pStyle w:val="ListParagraph"/>
        <w:numPr>
          <w:ilvl w:val="0"/>
          <w:numId w:val="2"/>
        </w:numPr>
        <w:spacing w:after="80"/>
      </w:pPr>
      <w:r>
        <w:rPr>
          <w:sz w:val="21"/>
          <w:szCs w:val="21"/>
        </w:rPr>
        <w:t xml:space="preserve">Regulation 34(2)(f) of the SEBI (Listing Obligations and Disclosure Requirements) Regulations, 2015, and the LODR Master Circular: BRSR format (Annexure 16), guidance note (Annexure 17) and BRSR Core (Annexure 17A).</w:t>
      </w:r>
    </w:p>
    <w:p>
      <w:pPr>
        <w:pStyle w:val="ListParagraph"/>
        <w:numPr>
          <w:ilvl w:val="0"/>
          <w:numId w:val="2"/>
        </w:numPr>
        <w:spacing w:after="80"/>
      </w:pPr>
      <w:r>
        <w:rPr>
          <w:sz w:val="21"/>
          <w:szCs w:val="21"/>
        </w:rPr>
        <w:t xml:space="preserve">Industry Standards on BRSR Core issued by the Industry Standards Forum (SEBI circular of 20 December 2024).</w:t>
      </w:r>
    </w:p>
    <w:p>
      <w:pPr>
        <w:pStyle w:val="ListParagraph"/>
        <w:numPr>
          <w:ilvl w:val="0"/>
          <w:numId w:val="2"/>
        </w:numPr>
        <w:spacing w:after="80"/>
      </w:pPr>
      <w:r>
        <w:rPr>
          <w:sz w:val="21"/>
          <w:szCs w:val="21"/>
        </w:rPr>
        <w:t xml:space="preserve">SEBI circular SEBI/HO/CFD/CFD-PoD-1/P/CIR/2025/42 of 28 March 2025 on assessment or assurance, value chain disclosures and green credits.</w:t>
      </w:r>
    </w:p>
    <w:p>
      <w:pPr>
        <w:pStyle w:val="ListParagraph"/>
        <w:numPr>
          <w:ilvl w:val="0"/>
          <w:numId w:val="2"/>
        </w:numPr>
        <w:spacing w:after="80"/>
      </w:pPr>
      <w:r>
        <w:rPr>
          <w:sz w:val="21"/>
          <w:szCs w:val="21"/>
        </w:rPr>
        <w:t xml:space="preserve">The National Guidelines on Responsible Business Conduct (nine principles).</w:t>
      </w:r>
    </w:p>
    <w:p>
      <w:pPr>
        <w:pStyle w:val="Heading1"/>
        <w:spacing w:after="100" w:before="240"/>
      </w:pPr>
      <w:r>
        <w:rPr>
          <w:b/>
          <w:bCs/>
          <w:color w:val="24552C"/>
          <w:sz w:val="26"/>
          <w:szCs w:val="26"/>
        </w:rPr>
        <w:t xml:space="preserve">3. Reporting boundary</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3000"/>
        <w:gridCol w:w="6506"/>
      </w:tblGrid>
      <w:tr>
        <w:trPr>
          <w:tblHeader/>
        </w:trPr>
        <w:tc>
          <w:tcPr>
            <w:tcW w:type="dxa" w:w="30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Item</w:t>
            </w:r>
          </w:p>
        </w:tc>
        <w:tc>
          <w:tcPr>
            <w:tcW w:type="dxa" w:w="65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Company position</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Basis</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[Standalone / Consolidated]</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Entities included</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[list]</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Exclusions and reasons</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[e.g. entities acquired during the year; entities below materiality threshold of [x]% of revenue]</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Principles or KPIs with a different boundary</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[e.g. waste and smaller-towns data for India sites only]</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Changes from last year</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[describe; restate prior year if material]</w:t>
            </w:r>
          </w:p>
        </w:tc>
      </w:tr>
    </w:tbl>
    <w:p>
      <w:pPr>
        <w:spacing w:after="120"/>
      </w:pPr>
    </w:p>
    <w:p>
      <w:pPr>
        <w:pStyle w:val="Heading1"/>
        <w:spacing w:after="100" w:before="240"/>
      </w:pPr>
      <w:r>
        <w:rPr>
          <w:b/>
          <w:bCs/>
          <w:color w:val="24552C"/>
          <w:sz w:val="26"/>
          <w:szCs w:val="26"/>
        </w:rPr>
        <w:t xml:space="preserve">4. Roles and responsibilities</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3000"/>
        <w:gridCol w:w="6506"/>
      </w:tblGrid>
      <w:tr>
        <w:trPr>
          <w:tblHeader/>
        </w:trPr>
        <w:tc>
          <w:tcPr>
            <w:tcW w:type="dxa" w:w="30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Role</w:t>
            </w:r>
          </w:p>
        </w:tc>
        <w:tc>
          <w:tcPr>
            <w:tcW w:type="dxa" w:w="65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Responsibility</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Board</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Approves the BRSR with the annual report; ensures the assessment or assurance provider has the necessary expertise and no conflict of interest</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[Audit / ESG / Risk] Committee</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Reviews data quality, restatements and provider findings; recommends the provider</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BRSR owner ([designation])</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Coordinates the report, this manual and the calendar</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KPI owners</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Collect, check and evidence each KPI (see section 5)</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Finance</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Reconciles revenue, purchases, payables and related-party data to audited financials</w:t>
            </w:r>
          </w:p>
        </w:tc>
      </w:tr>
      <w:tr>
        <w:trPr>
          <w:tblHeader w:val="false"/>
        </w:trPr>
        <w:tc>
          <w:tcPr>
            <w:tcW w:type="dxa" w:w="3000"/>
            <w:tcBorders>
              <w:top w:val="single" w:color="BFD3C2" w:sz="4"/>
              <w:left w:val="single" w:color="BFD3C2" w:sz="4"/>
              <w:bottom w:val="single" w:color="BFD3C2" w:sz="4"/>
              <w:right w:val="single" w:color="BFD3C2" w:sz="4"/>
            </w:tcBorders>
            <w:shd w:fill="E9F2EA" w:color="auto" w:val="clear"/>
            <w:tcMar>
              <w:top w:type="dxa" w:w="60"/>
              <w:left w:type="dxa" w:w="100"/>
              <w:bottom w:type="dxa" w:w="60"/>
              <w:right w:type="dxa" w:w="100"/>
            </w:tcMar>
          </w:tcPr>
          <w:p>
            <w:r>
              <w:rPr>
                <w:sz w:val="18"/>
                <w:szCs w:val="18"/>
              </w:rPr>
              <w:t xml:space="preserve">Company secretary</w:t>
            </w:r>
          </w:p>
        </w:tc>
        <w:tc>
          <w:tcPr>
            <w:tcW w:type="dxa" w:w="65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Filing, website publication, Board papers</w:t>
            </w:r>
          </w:p>
        </w:tc>
      </w:tr>
    </w:tbl>
    <w:p>
      <w:pPr>
        <w:spacing w:after="120"/>
      </w:pPr>
    </w:p>
    <w:p>
      <w:pPr>
        <w:pStyle w:val="Heading1"/>
        <w:spacing w:after="100" w:before="240"/>
      </w:pPr>
      <w:r>
        <w:rPr>
          <w:b/>
          <w:bCs/>
          <w:color w:val="24552C"/>
          <w:sz w:val="26"/>
          <w:szCs w:val="26"/>
        </w:rPr>
        <w:t xml:space="preserve">5. KPI ownership (BRSR Core)</w:t>
      </w:r>
    </w:p>
    <w:tbl>
      <w:tblPr>
        <w:tblW w:type="dxa" w:w="9506"/>
        <w:tblBorders>
          <w:top w:val="single" w:color="auto" w:sz="4"/>
          <w:left w:val="single" w:color="auto" w:sz="4"/>
          <w:bottom w:val="single" w:color="auto" w:sz="4"/>
          <w:right w:val="single" w:color="auto" w:sz="4"/>
          <w:insideH w:val="single" w:color="auto" w:sz="4"/>
          <w:insideV w:val="single" w:color="auto" w:sz="4"/>
        </w:tblBorders>
      </w:tblPr>
      <w:tblGrid>
        <w:gridCol w:w="4300"/>
        <w:gridCol w:w="2600"/>
        <w:gridCol w:w="2606"/>
      </w:tblGrid>
      <w:tr>
        <w:trPr>
          <w:tblHeader/>
        </w:trPr>
        <w:tc>
          <w:tcPr>
            <w:tcW w:type="dxa" w:w="43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Attribute</w:t>
            </w:r>
          </w:p>
        </w:tc>
        <w:tc>
          <w:tcPr>
            <w:tcW w:type="dxa" w:w="2600"/>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Owner</w:t>
            </w:r>
          </w:p>
        </w:tc>
        <w:tc>
          <w:tcPr>
            <w:tcW w:type="dxa" w:w="2606"/>
            <w:tcBorders>
              <w:top w:val="single" w:color="BFD3C2" w:sz="4"/>
              <w:left w:val="single" w:color="BFD3C2" w:sz="4"/>
              <w:bottom w:val="single" w:color="BFD3C2" w:sz="4"/>
              <w:right w:val="single" w:color="BFD3C2" w:sz="4"/>
            </w:tcBorders>
            <w:shd w:fill="24552C" w:color="auto" w:val="clear"/>
            <w:tcMar>
              <w:top w:type="dxa" w:w="60"/>
              <w:left w:type="dxa" w:w="100"/>
              <w:bottom w:type="dxa" w:w="60"/>
              <w:right w:type="dxa" w:w="100"/>
            </w:tcMar>
          </w:tcPr>
          <w:p>
            <w:r>
              <w:rPr>
                <w:b/>
                <w:bCs/>
                <w:color w:val="FFFFFF"/>
                <w:sz w:val="18"/>
                <w:szCs w:val="18"/>
              </w:rPr>
              <w:t xml:space="preserve">Source system</w:t>
            </w:r>
          </w:p>
        </w:tc>
      </w:tr>
      <w:tr>
        <w:trPr>
          <w:tblHeader w:val="false"/>
        </w:trPr>
        <w:tc>
          <w:tcPr>
            <w:tcW w:type="dxa" w:w="4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1. GHG footprint</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[EHS / Energy]</w:t>
            </w:r>
          </w:p>
        </w:tc>
        <w:tc>
          <w:tcPr>
            <w:tcW w:type="dxa" w:w="26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[fuel and utility records]</w:t>
            </w:r>
          </w:p>
        </w:tc>
      </w:tr>
      <w:tr>
        <w:trPr>
          <w:tblHeader w:val="false"/>
        </w:trPr>
        <w:tc>
          <w:tcPr>
            <w:tcW w:type="dxa" w:w="4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2. Water footprint</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[Facilities]</w:t>
            </w:r>
          </w:p>
        </w:tc>
        <w:tc>
          <w:tcPr>
            <w:tcW w:type="dxa" w:w="26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[meters, ETP/STP logs]</w:t>
            </w:r>
          </w:p>
        </w:tc>
      </w:tr>
      <w:tr>
        <w:trPr>
          <w:tblHeader w:val="false"/>
        </w:trPr>
        <w:tc>
          <w:tcPr>
            <w:tcW w:type="dxa" w:w="4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3. Energy footprint</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[Energy]</w:t>
            </w:r>
          </w:p>
        </w:tc>
        <w:tc>
          <w:tcPr>
            <w:tcW w:type="dxa" w:w="26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[meters, PPAs]</w:t>
            </w:r>
          </w:p>
        </w:tc>
      </w:tr>
      <w:tr>
        <w:trPr>
          <w:tblHeader w:val="false"/>
        </w:trPr>
        <w:tc>
          <w:tcPr>
            <w:tcW w:type="dxa" w:w="4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4. Circularity (waste)</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[EHS]</w:t>
            </w:r>
          </w:p>
        </w:tc>
        <w:tc>
          <w:tcPr>
            <w:tcW w:type="dxa" w:w="26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[manifests, vendor certificates]</w:t>
            </w:r>
          </w:p>
        </w:tc>
      </w:tr>
      <w:tr>
        <w:trPr>
          <w:tblHeader w:val="false"/>
        </w:trPr>
        <w:tc>
          <w:tcPr>
            <w:tcW w:type="dxa" w:w="4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5. Employee wellbeing and safety</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[HR / Safety]</w:t>
            </w:r>
          </w:p>
        </w:tc>
        <w:tc>
          <w:tcPr>
            <w:tcW w:type="dxa" w:w="26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[payroll, incident system]</w:t>
            </w:r>
          </w:p>
        </w:tc>
      </w:tr>
      <w:tr>
        <w:trPr>
          <w:tblHeader w:val="false"/>
        </w:trPr>
        <w:tc>
          <w:tcPr>
            <w:tcW w:type="dxa" w:w="4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6. Gender diversity</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[HR / ICC]</w:t>
            </w:r>
          </w:p>
        </w:tc>
        <w:tc>
          <w:tcPr>
            <w:tcW w:type="dxa" w:w="26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[payroll, ICC register]</w:t>
            </w:r>
          </w:p>
        </w:tc>
      </w:tr>
      <w:tr>
        <w:trPr>
          <w:tblHeader w:val="false"/>
        </w:trPr>
        <w:tc>
          <w:tcPr>
            <w:tcW w:type="dxa" w:w="4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7. Inclusive development</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[Procurement / HR]</w:t>
            </w:r>
          </w:p>
        </w:tc>
        <w:tc>
          <w:tcPr>
            <w:tcW w:type="dxa" w:w="26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[vendor master, payroll by location]</w:t>
            </w:r>
          </w:p>
        </w:tc>
      </w:tr>
      <w:tr>
        <w:trPr>
          <w:tblHeader w:val="false"/>
        </w:trPr>
        <w:tc>
          <w:tcPr>
            <w:tcW w:type="dxa" w:w="4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8. Fairness with customers and suppliers</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[IT / Finance]</w:t>
            </w:r>
          </w:p>
        </w:tc>
        <w:tc>
          <w:tcPr>
            <w:tcW w:type="dxa" w:w="26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[incident log, financials]</w:t>
            </w:r>
          </w:p>
        </w:tc>
      </w:tr>
      <w:tr>
        <w:trPr>
          <w:tblHeader w:val="false"/>
        </w:trPr>
        <w:tc>
          <w:tcPr>
            <w:tcW w:type="dxa" w:w="43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9. Openness of business</w:t>
            </w:r>
          </w:p>
        </w:tc>
        <w:tc>
          <w:tcPr>
            <w:tcW w:type="dxa" w:w="2600"/>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[Finance / Procurement]</w:t>
            </w:r>
          </w:p>
        </w:tc>
        <w:tc>
          <w:tcPr>
            <w:tcW w:type="dxa" w:w="2606"/>
            <w:tcBorders>
              <w:top w:val="single" w:color="BFD3C2" w:sz="4"/>
              <w:left w:val="single" w:color="BFD3C2" w:sz="4"/>
              <w:bottom w:val="single" w:color="BFD3C2" w:sz="4"/>
              <w:right w:val="single" w:color="BFD3C2" w:sz="4"/>
            </w:tcBorders>
            <w:tcMar>
              <w:top w:type="dxa" w:w="60"/>
              <w:left w:type="dxa" w:w="100"/>
              <w:bottom w:type="dxa" w:w="60"/>
              <w:right w:type="dxa" w:w="100"/>
            </w:tcMar>
          </w:tcPr>
          <w:p>
            <w:r>
              <w:rPr>
                <w:sz w:val="18"/>
                <w:szCs w:val="18"/>
              </w:rPr>
              <w:t xml:space="preserve">[ERP, RPT register]</w:t>
            </w:r>
          </w:p>
        </w:tc>
      </w:tr>
    </w:tbl>
    <w:p>
      <w:pPr>
        <w:spacing w:after="120"/>
      </w:pPr>
    </w:p>
    <w:p>
      <w:pPr>
        <w:pStyle w:val="Heading1"/>
        <w:spacing w:after="100" w:before="240"/>
      </w:pPr>
      <w:r>
        <w:rPr>
          <w:b/>
          <w:bCs/>
          <w:color w:val="24552C"/>
          <w:sz w:val="26"/>
          <w:szCs w:val="26"/>
        </w:rPr>
        <w:t xml:space="preserve">6. Definitions and methods</w:t>
      </w:r>
    </w:p>
    <w:p>
      <w:pPr>
        <w:pStyle w:val="ListParagraph"/>
        <w:numPr>
          <w:ilvl w:val="0"/>
          <w:numId w:val="2"/>
        </w:numPr>
        <w:spacing w:after="80"/>
      </w:pPr>
      <w:r>
        <w:rPr>
          <w:sz w:val="21"/>
          <w:szCs w:val="21"/>
        </w:rPr>
        <w:t xml:space="preserve">KPI definitions follow Annexure 17A and the Industry Standards on BRSR Core. Any change or industry-specific adjustment or estimate is disclosed in the report.</w:t>
      </w:r>
    </w:p>
    <w:p>
      <w:pPr>
        <w:pStyle w:val="ListParagraph"/>
        <w:numPr>
          <w:ilvl w:val="0"/>
          <w:numId w:val="2"/>
        </w:numPr>
        <w:spacing w:after="80"/>
      </w:pPr>
      <w:r>
        <w:rPr>
          <w:sz w:val="21"/>
          <w:szCs w:val="21"/>
        </w:rPr>
        <w:t xml:space="preserve">Emission factors: [source and version, e.g. CEA grid factor for the year; IPCC for fuels]. Global warming potentials: [source].</w:t>
      </w:r>
    </w:p>
    <w:p>
      <w:pPr>
        <w:pStyle w:val="ListParagraph"/>
        <w:numPr>
          <w:ilvl w:val="0"/>
          <w:numId w:val="2"/>
        </w:numPr>
        <w:spacing w:after="80"/>
      </w:pPr>
      <w:r>
        <w:rPr>
          <w:sz w:val="21"/>
          <w:szCs w:val="21"/>
        </w:rPr>
        <w:t xml:space="preserve">Intensity ratios: per rupee of revenue from operations, and per rupee of revenue adjusted for purchasing power parity using [IMF / other] conversion factor of [value] for [year].</w:t>
      </w:r>
    </w:p>
    <w:p>
      <w:pPr>
        <w:pStyle w:val="ListParagraph"/>
        <w:numPr>
          <w:ilvl w:val="0"/>
          <w:numId w:val="2"/>
        </w:numPr>
        <w:spacing w:after="80"/>
      </w:pPr>
      <w:r>
        <w:rPr>
          <w:sz w:val="21"/>
          <w:szCs w:val="21"/>
        </w:rPr>
        <w:t xml:space="preserve">Smaller towns: locations classified using [RBI population-group classification / Census 2011].</w:t>
      </w:r>
    </w:p>
    <w:p>
      <w:pPr>
        <w:pStyle w:val="ListParagraph"/>
        <w:numPr>
          <w:ilvl w:val="0"/>
          <w:numId w:val="2"/>
        </w:numPr>
        <w:spacing w:after="80"/>
      </w:pPr>
      <w:r>
        <w:rPr>
          <w:sz w:val="21"/>
          <w:szCs w:val="21"/>
        </w:rPr>
        <w:t xml:space="preserve">Waste: where vendor certificates are relied upon, this is disclosed.</w:t>
      </w:r>
    </w:p>
    <w:p>
      <w:pPr>
        <w:pStyle w:val="ListParagraph"/>
        <w:numPr>
          <w:ilvl w:val="0"/>
          <w:numId w:val="2"/>
        </w:numPr>
        <w:spacing w:after="80"/>
      </w:pPr>
      <w:r>
        <w:rPr>
          <w:sz w:val="21"/>
          <w:szCs w:val="21"/>
        </w:rPr>
        <w:t xml:space="preserve">Estimates: listed in the annex with method and reason.</w:t>
      </w:r>
    </w:p>
    <w:p>
      <w:pPr>
        <w:pStyle w:val="Heading1"/>
        <w:spacing w:after="100" w:before="240"/>
      </w:pPr>
      <w:r>
        <w:rPr>
          <w:b/>
          <w:bCs/>
          <w:color w:val="24552C"/>
          <w:sz w:val="26"/>
          <w:szCs w:val="26"/>
        </w:rPr>
        <w:t xml:space="preserve">7. Data controls</w:t>
      </w:r>
    </w:p>
    <w:p>
      <w:pPr>
        <w:pStyle w:val="ListParagraph"/>
        <w:numPr>
          <w:ilvl w:val="0"/>
          <w:numId w:val="2"/>
        </w:numPr>
        <w:spacing w:after="80"/>
      </w:pPr>
      <w:r>
        <w:rPr>
          <w:sz w:val="21"/>
          <w:szCs w:val="21"/>
        </w:rPr>
        <w:t xml:space="preserve">Maker-checker review for every KPI before it enters the report.</w:t>
      </w:r>
    </w:p>
    <w:p>
      <w:pPr>
        <w:pStyle w:val="ListParagraph"/>
        <w:numPr>
          <w:ilvl w:val="0"/>
          <w:numId w:val="2"/>
        </w:numPr>
        <w:spacing w:after="80"/>
      </w:pPr>
      <w:r>
        <w:rPr>
          <w:sz w:val="21"/>
          <w:szCs w:val="21"/>
        </w:rPr>
        <w:t xml:space="preserve">Reconciliation of financial inputs to audited financial statements.</w:t>
      </w:r>
    </w:p>
    <w:p>
      <w:pPr>
        <w:pStyle w:val="ListParagraph"/>
        <w:numPr>
          <w:ilvl w:val="0"/>
          <w:numId w:val="2"/>
        </w:numPr>
        <w:spacing w:after="80"/>
      </w:pPr>
      <w:r>
        <w:rPr>
          <w:sz w:val="21"/>
          <w:szCs w:val="21"/>
        </w:rPr>
        <w:t xml:space="preserve">Year-on-year variance above [25]% explained in writing.</w:t>
      </w:r>
    </w:p>
    <w:p>
      <w:pPr>
        <w:pStyle w:val="ListParagraph"/>
        <w:numPr>
          <w:ilvl w:val="0"/>
          <w:numId w:val="2"/>
        </w:numPr>
        <w:spacing w:after="80"/>
      </w:pPr>
      <w:r>
        <w:rPr>
          <w:sz w:val="21"/>
          <w:szCs w:val="21"/>
        </w:rPr>
        <w:t xml:space="preserve">Evidence indexed by KPI and retained for [eight] years.</w:t>
      </w:r>
    </w:p>
    <w:p>
      <w:pPr>
        <w:pStyle w:val="ListParagraph"/>
        <w:numPr>
          <w:ilvl w:val="0"/>
          <w:numId w:val="2"/>
        </w:numPr>
        <w:spacing w:after="80"/>
      </w:pPr>
      <w:r>
        <w:rPr>
          <w:sz w:val="21"/>
          <w:szCs w:val="21"/>
        </w:rPr>
        <w:t xml:space="preserve">System access available to the assessment or assurance provider for testing.</w:t>
      </w:r>
    </w:p>
    <w:p>
      <w:pPr>
        <w:pStyle w:val="Heading1"/>
        <w:spacing w:after="100" w:before="240"/>
      </w:pPr>
      <w:r>
        <w:rPr>
          <w:b/>
          <w:bCs/>
          <w:color w:val="24552C"/>
          <w:sz w:val="26"/>
          <w:szCs w:val="26"/>
        </w:rPr>
        <w:t xml:space="preserve">8. Restatement policy</w:t>
      </w:r>
    </w:p>
    <w:p>
      <w:pPr>
        <w:spacing w:after="120"/>
      </w:pPr>
      <w:r>
        <w:rPr>
          <w:sz w:val="21"/>
          <w:szCs w:val="21"/>
        </w:rPr>
        <w:t xml:space="preserve">Prior-year figures are restated when an error, a change in method or definition (including changes under the Industry Standards), or a change in boundary alters a KPI by more than [5]%. Restatements are disclosed with the reason and the effect.</w:t>
      </w:r>
    </w:p>
    <w:p>
      <w:pPr>
        <w:pStyle w:val="Heading1"/>
        <w:spacing w:after="100" w:before="240"/>
      </w:pPr>
      <w:r>
        <w:rPr>
          <w:b/>
          <w:bCs/>
          <w:color w:val="24552C"/>
          <w:sz w:val="26"/>
          <w:szCs w:val="26"/>
        </w:rPr>
        <w:t xml:space="preserve">9. Value chain</w:t>
      </w:r>
    </w:p>
    <w:p>
      <w:pPr>
        <w:spacing w:after="120"/>
      </w:pPr>
      <w:r>
        <w:rPr>
          <w:sz w:val="21"/>
          <w:szCs w:val="21"/>
        </w:rPr>
        <w:t xml:space="preserve">The Company [will / will not yet] disclose BRSR Core KPIs for value chain partners individually comprising 2% or more of purchases or sales by value, limited to [75]% coverage. Disclosure is voluntary for the top 250 listed entities from FY2025-26, and assessment or assurance is voluntary from FY2026-27. Partner data is reported only to the extent attributable to the Company's business with each partner. The Company uses Earth5R's Value Chain Partner Questionnaire [or its own] to collect it.</w:t>
      </w:r>
    </w:p>
    <w:p>
      <w:pPr>
        <w:pStyle w:val="Heading1"/>
        <w:spacing w:after="100" w:before="240"/>
      </w:pPr>
      <w:r>
        <w:rPr>
          <w:b/>
          <w:bCs/>
          <w:color w:val="24552C"/>
          <w:sz w:val="26"/>
          <w:szCs w:val="26"/>
        </w:rPr>
        <w:t xml:space="preserve">10. Assessment or assurance</w:t>
      </w:r>
    </w:p>
    <w:p>
      <w:pPr>
        <w:pStyle w:val="ListParagraph"/>
        <w:numPr>
          <w:ilvl w:val="0"/>
          <w:numId w:val="2"/>
        </w:numPr>
        <w:spacing w:after="80"/>
      </w:pPr>
      <w:r>
        <w:rPr>
          <w:sz w:val="21"/>
          <w:szCs w:val="21"/>
        </w:rPr>
        <w:t xml:space="preserve">Type: [reasonable assurance / limited assurance / assessment under ISF standards] of the BRSR Core; [limited assurance / none] of other BRSR disclosures.</w:t>
      </w:r>
    </w:p>
    <w:p>
      <w:pPr>
        <w:pStyle w:val="ListParagraph"/>
        <w:numPr>
          <w:ilvl w:val="0"/>
          <w:numId w:val="2"/>
        </w:numPr>
        <w:spacing w:after="80"/>
      </w:pPr>
      <w:r>
        <w:rPr>
          <w:sz w:val="21"/>
          <w:szCs w:val="21"/>
        </w:rPr>
        <w:t xml:space="preserve">Standard: [e.g. ICAI SSAE 3000 and SAE 3410 / ISAE 3000 (Revised) and ISO 14064-3]. Note: ICAI's SSA 5000 is reported to apply from 1 April 2027.</w:t>
      </w:r>
    </w:p>
    <w:p>
      <w:pPr>
        <w:pStyle w:val="ListParagraph"/>
        <w:numPr>
          <w:ilvl w:val="0"/>
          <w:numId w:val="2"/>
        </w:numPr>
        <w:spacing w:after="80"/>
      </w:pPr>
      <w:r>
        <w:rPr>
          <w:sz w:val="21"/>
          <w:szCs w:val="21"/>
        </w:rPr>
        <w:t xml:space="preserve">Independence: the provider and its associates do not sell products or provide consulting or other non-audit, non-assessment or non-assurance services to the Company or its group.</w:t>
      </w:r>
    </w:p>
    <w:p>
      <w:pPr>
        <w:pStyle w:val="ListParagraph"/>
        <w:numPr>
          <w:ilvl w:val="0"/>
          <w:numId w:val="2"/>
        </w:numPr>
        <w:spacing w:after="80"/>
      </w:pPr>
      <w:r>
        <w:rPr>
          <w:sz w:val="21"/>
          <w:szCs w:val="21"/>
        </w:rPr>
        <w:t xml:space="preserve">Findings and management responses are reported to the [Committee].</w:t>
      </w:r>
    </w:p>
    <w:p>
      <w:pPr>
        <w:pStyle w:val="Heading1"/>
        <w:spacing w:after="100" w:before="240"/>
      </w:pPr>
      <w:r>
        <w:rPr>
          <w:b/>
          <w:bCs/>
          <w:color w:val="24552C"/>
          <w:sz w:val="26"/>
          <w:szCs w:val="26"/>
        </w:rPr>
        <w:t xml:space="preserve">11. Calendar</w:t>
      </w:r>
    </w:p>
    <w:p>
      <w:pPr>
        <w:spacing w:after="120"/>
      </w:pPr>
      <w:r>
        <w:rPr>
          <w:sz w:val="21"/>
          <w:szCs w:val="21"/>
        </w:rPr>
        <w:t xml:space="preserve">[Attach the Company's BRSR calendar. Earth5R's BRSR Core Data Workbook, sheet 9, has a 12-month model.]</w:t>
      </w:r>
    </w:p>
    <w:p>
      <w:pPr>
        <w:pStyle w:val="Heading1"/>
        <w:spacing w:after="100" w:before="240"/>
      </w:pPr>
      <w:r>
        <w:rPr>
          <w:b/>
          <w:bCs/>
          <w:color w:val="24552C"/>
          <w:sz w:val="26"/>
          <w:szCs w:val="26"/>
        </w:rPr>
        <w:t xml:space="preserve">12. Review</w:t>
      </w:r>
    </w:p>
    <w:p>
      <w:pPr>
        <w:spacing w:after="120"/>
      </w:pPr>
      <w:r>
        <w:rPr>
          <w:sz w:val="21"/>
          <w:szCs w:val="21"/>
        </w:rPr>
        <w:t xml:space="preserve">This manual is reviewed every year and whenever SEBI or the Industry Standards Forum change the requirements. Approved by [authority] on [date].</w:t>
      </w:r>
    </w:p>
    <w:sectPr>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Model template by Earth5R · earth5r.org/guides/brsr-core-guide · Not legal advice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abstractNum w:abstractNumId="4" w15:restartNumberingAfterBreak="0">
    <w:multiLevelType w:val="hybridMultilevel"/>
    <w:lvl w:ilvl="0" w15:tentative="1">
      <w:start w:val="1"/>
      <w:numFmt w:val="decimal"/>
      <w:lvlText w:val="%1."/>
      <w:lvlJc w:val="left"/>
      <w:pPr>
        <w:ind w:left="540" w:hanging="300"/>
      </w:pPr>
    </w:lvl>
  </w:abstractNum>
  <w:abstractNum w:abstractNumId="5" w15:restartNumberingAfterBreak="0">
    <w:multiLevelType w:val="hybridMultilevel"/>
    <w:lvl w:ilvl="0" w15:tentative="1">
      <w:start w:val="1"/>
      <w:numFmt w:val="decimal"/>
      <w:lvlText w:val="%1."/>
      <w:lvlJc w:val="left"/>
      <w:pPr>
        <w:ind w:left="540" w:hanging="300"/>
      </w:pPr>
    </w:lvl>
  </w:abstractNum>
  <w:abstractNum w:abstractNumId="6" w15:restartNumberingAfterBreak="0">
    <w:multiLevelType w:val="hybridMultilevel"/>
    <w:lvl w:ilvl="0" w15:tentative="1">
      <w:start w:val="1"/>
      <w:numFmt w:val="decimal"/>
      <w:lvlText w:val="%1."/>
      <w:lvlJc w:val="left"/>
      <w:pPr>
        <w:ind w:left="540" w:hanging="300"/>
      </w:pPr>
    </w:lvl>
  </w:abstractNum>
  <w:abstractNum w:abstractNumId="7" w15:restartNumberingAfterBreak="0">
    <w:multiLevelType w:val="hybridMultilevel"/>
    <w:lvl w:ilvl="0" w15:tentative="1">
      <w:start w:val="1"/>
      <w:numFmt w:val="decimal"/>
      <w:lvlText w:val="%1."/>
      <w:lvlJc w:val="left"/>
      <w:pPr>
        <w:ind w:left="540" w:hanging="300"/>
      </w:pPr>
    </w:lvl>
  </w:abstractNum>
  <w:abstractNum w:abstractNumId="8" w15:restartNumberingAfterBreak="0">
    <w:multiLevelType w:val="hybridMultilevel"/>
    <w:lvl w:ilvl="0" w15:tentative="1">
      <w:start w:val="1"/>
      <w:numFmt w:val="decimal"/>
      <w:lvlText w:val="%1."/>
      <w:lvlJc w:val="left"/>
      <w:pPr>
        <w:ind w:left="540" w:hanging="300"/>
      </w:pPr>
    </w:lvl>
  </w:abstractNum>
  <w:abstractNum w:abstractNumId="9" w15:restartNumberingAfterBreak="0">
    <w:multiLevelType w:val="hybridMultilevel"/>
    <w:lvl w:ilvl="0" w15:tentative="1">
      <w:start w:val="1"/>
      <w:numFmt w:val="decimal"/>
      <w:lvlText w:val="%1."/>
      <w:lvlJc w:val="left"/>
      <w:pPr>
        <w:ind w:left="540" w:hanging="300"/>
      </w:pPr>
    </w:lvl>
  </w:abstractNum>
  <w:abstractNum w:abstractNumId="10" w15:restartNumberingAfterBreak="0">
    <w:multiLevelType w:val="hybridMultilevel"/>
    <w:lvl w:ilvl="0" w15:tentative="1">
      <w:start w:val="1"/>
      <w:numFmt w:val="decimal"/>
      <w:lvlText w:val="%1."/>
      <w:lvlJc w:val="left"/>
      <w:pPr>
        <w:ind w:left="540" w:hanging="300"/>
      </w:pPr>
    </w:lvl>
  </w:abstractNum>
  <w:abstractNum w:abstractNumId="11" w15:restartNumberingAfterBreak="0">
    <w:multiLevelType w:val="hybridMultilevel"/>
    <w:lvl w:ilvl="0" w15:tentative="1">
      <w:start w:val="1"/>
      <w:numFmt w:val="decimal"/>
      <w:lvlText w:val="%1."/>
      <w:lvlJc w:val="left"/>
      <w:pPr>
        <w:ind w:left="540" w:hanging="300"/>
      </w:pPr>
    </w:lvl>
  </w:abstractNum>
  <w:abstractNum w:abstractNumId="12" w15:restartNumberingAfterBreak="0">
    <w:multiLevelType w:val="hybridMultilevel"/>
    <w:lvl w:ilvl="0" w15:tentative="1">
      <w:start w:val="1"/>
      <w:numFmt w:val="decimal"/>
      <w:lvlText w:val="%1."/>
      <w:lvlJc w:val="left"/>
      <w:pPr>
        <w:ind w:left="540" w:hanging="300"/>
      </w:pPr>
    </w:lvl>
  </w:abstractNum>
  <w:abstractNum w:abstractNumId="13" w15:restartNumberingAfterBreak="0">
    <w:multiLevelType w:val="hybridMultilevel"/>
    <w:lvl w:ilvl="0" w15:tentative="1">
      <w:start w:val="1"/>
      <w:numFmt w:val="decimal"/>
      <w:lvlText w:val="%1."/>
      <w:lvlJc w:val="left"/>
      <w:pPr>
        <w:ind w:left="540" w:hanging="300"/>
      </w:pPr>
    </w:lvl>
  </w:abstractNum>
  <w:abstractNum w:abstractNumId="14" w15:restartNumberingAfterBreak="0">
    <w:multiLevelType w:val="hybridMultilevel"/>
    <w:lvl w:ilvl="0" w15:tentative="1">
      <w:start w:val="1"/>
      <w:numFmt w:val="decimal"/>
      <w:lvlText w:val="%1."/>
      <w:lvlJc w:val="left"/>
      <w:pPr>
        <w:ind w:left="540" w:hanging="300"/>
      </w:pPr>
    </w:lvl>
  </w:abstractNum>
  <w:abstractNum w:abstractNumId="15" w15:restartNumberingAfterBreak="0">
    <w:multiLevelType w:val="hybridMultilevel"/>
    <w:lvl w:ilvl="0" w15:tentative="1">
      <w:start w:val="1"/>
      <w:numFmt w:val="decimal"/>
      <w:lvlText w:val="%1."/>
      <w:lvlJc w:val="left"/>
      <w:pPr>
        <w:ind w:left="540" w:hanging="300"/>
      </w:pPr>
    </w:lvl>
  </w:abstractNum>
  <w:abstractNum w:abstractNumId="16" w15:restartNumberingAfterBreak="0">
    <w:multiLevelType w:val="hybridMultilevel"/>
    <w:lvl w:ilvl="0" w15:tentative="1">
      <w:start w:val="1"/>
      <w:numFmt w:val="decimal"/>
      <w:lvlText w:val="%1."/>
      <w:lvlJc w:val="left"/>
      <w:pPr>
        <w:ind w:left="540" w:hanging="300"/>
      </w:pPr>
    </w:lvl>
  </w:abstractNum>
  <w:abstractNum w:abstractNumId="17" w15:restartNumberingAfterBreak="0">
    <w:multiLevelType w:val="hybridMultilevel"/>
    <w:lvl w:ilvl="0" w15:tentative="1">
      <w:start w:val="1"/>
      <w:numFmt w:val="decimal"/>
      <w:lvlText w:val="%1."/>
      <w:lvlJc w:val="left"/>
      <w:pPr>
        <w:ind w:left="540" w:hanging="300"/>
      </w:pPr>
    </w:lvl>
  </w:abstractNum>
  <w:abstractNum w:abstractNumId="18" w15:restartNumberingAfterBreak="0">
    <w:multiLevelType w:val="hybridMultilevel"/>
    <w:lvl w:ilvl="0" w15:tentative="1">
      <w:start w:val="1"/>
      <w:numFmt w:val="decimal"/>
      <w:lvlText w:val="%1."/>
      <w:lvlJc w:val="left"/>
      <w:pPr>
        <w:ind w:left="540" w:hanging="300"/>
      </w:pPr>
    </w:lvl>
  </w:abstractNum>
  <w:abstractNum w:abstractNumId="19" w15:restartNumberingAfterBreak="0">
    <w:multiLevelType w:val="hybridMultilevel"/>
    <w:lvl w:ilvl="0" w15:tentative="1">
      <w:start w:val="1"/>
      <w:numFmt w:val="decimal"/>
      <w:lvlText w:val="%1."/>
      <w:lvlJc w:val="left"/>
      <w:pPr>
        <w:ind w:left="540" w:hanging="300"/>
      </w:pPr>
    </w:lvl>
  </w:abstractNum>
  <w:abstractNum w:abstractNumId="20" w15:restartNumberingAfterBreak="0">
    <w:multiLevelType w:val="hybridMultilevel"/>
    <w:lvl w:ilvl="0" w15:tentative="1">
      <w:start w:val="1"/>
      <w:numFmt w:val="decimal"/>
      <w:lvlText w:val="%1."/>
      <w:lvlJc w:val="left"/>
      <w:pPr>
        <w:ind w:left="540" w:hanging="300"/>
      </w:pPr>
    </w:lvl>
  </w:abstractNum>
  <w:abstractNum w:abstractNumId="21" w15:restartNumberingAfterBreak="0">
    <w:multiLevelType w:val="hybridMultilevel"/>
    <w:lvl w:ilvl="0" w15:tentative="1">
      <w:start w:val="1"/>
      <w:numFmt w:val="decimal"/>
      <w:lvlText w:val="%1."/>
      <w:lvlJc w:val="left"/>
      <w:pPr>
        <w:ind w:left="540" w:hanging="300"/>
      </w:pPr>
    </w:lvl>
  </w:abstractNum>
  <w:abstractNum w:abstractNumId="22" w15:restartNumberingAfterBreak="0">
    <w:multiLevelType w:val="hybridMultilevel"/>
    <w:lvl w:ilvl="0" w15:tentative="1">
      <w:start w:val="1"/>
      <w:numFmt w:val="decimal"/>
      <w:lvlText w:val="%1."/>
      <w:lvlJc w:val="left"/>
      <w:pPr>
        <w:ind w:left="540" w:hanging="300"/>
      </w:pPr>
    </w:lvl>
  </w:abstractNum>
  <w:abstractNum w:abstractNumId="23" w15:restartNumberingAfterBreak="0">
    <w:multiLevelType w:val="hybridMultilevel"/>
    <w:lvl w:ilvl="0" w15:tentative="1">
      <w:start w:val="1"/>
      <w:numFmt w:val="decimal"/>
      <w:lvlText w:val="%1."/>
      <w:lvlJc w:val="left"/>
      <w:pPr>
        <w:ind w:left="540" w:hanging="300"/>
      </w:pPr>
    </w:lvl>
  </w:abstractNum>
  <w:abstractNum w:abstractNumId="24" w15:restartNumberingAfterBreak="0">
    <w:multiLevelType w:val="hybridMultilevel"/>
    <w:lvl w:ilvl="0" w15:tentative="1">
      <w:start w:val="1"/>
      <w:numFmt w:val="decimal"/>
      <w:lvlText w:val="%1."/>
      <w:lvlJc w:val="left"/>
      <w:pPr>
        <w:ind w:left="540" w:hanging="300"/>
      </w:pPr>
    </w:lvl>
  </w:abstractNum>
  <w:abstractNum w:abstractNumId="25" w15:restartNumberingAfterBreak="0">
    <w:multiLevelType w:val="hybridMultilevel"/>
    <w:lvl w:ilvl="0" w15:tentative="1">
      <w:start w:val="1"/>
      <w:numFmt w:val="decimal"/>
      <w:lvlText w:val="%1."/>
      <w:lvlJc w:val="left"/>
      <w:pPr>
        <w:ind w:left="540" w:hanging="300"/>
      </w:pPr>
    </w:lvl>
  </w:abstractNum>
  <w:abstractNum w:abstractNumId="26" w15:restartNumberingAfterBreak="0">
    <w:multiLevelType w:val="hybridMultilevel"/>
    <w:lvl w:ilvl="0" w15:tentative="1">
      <w:start w:val="1"/>
      <w:numFmt w:val="decimal"/>
      <w:lvlText w:val="%1."/>
      <w:lvlJc w:val="left"/>
      <w:pPr>
        <w:ind w:left="540" w:hanging="300"/>
      </w:pPr>
    </w:lvl>
  </w:abstractNum>
  <w:abstractNum w:abstractNumId="27" w15:restartNumberingAfterBreak="0">
    <w:multiLevelType w:val="hybridMultilevel"/>
    <w:lvl w:ilvl="0" w15:tentative="1">
      <w:start w:val="1"/>
      <w:numFmt w:val="decimal"/>
      <w:lvlText w:val="%1."/>
      <w:lvlJc w:val="left"/>
      <w:pPr>
        <w:ind w:left="540" w:hanging="300"/>
      </w:pPr>
    </w:lvl>
  </w:abstractNum>
  <w:abstractNum w:abstractNumId="28" w15:restartNumberingAfterBreak="0">
    <w:multiLevelType w:val="hybridMultilevel"/>
    <w:lvl w:ilvl="0" w15:tentative="1">
      <w:start w:val="1"/>
      <w:numFmt w:val="decimal"/>
      <w:lvlText w:val="%1."/>
      <w:lvlJc w:val="left"/>
      <w:pPr>
        <w:ind w:left="540" w:hanging="300"/>
      </w:pPr>
    </w:lvl>
  </w:abstractNum>
  <w:abstractNum w:abstractNumId="29" w15:restartNumberingAfterBreak="0">
    <w:multiLevelType w:val="hybridMultilevel"/>
    <w:lvl w:ilvl="0" w15:tentative="1">
      <w:start w:val="1"/>
      <w:numFmt w:val="decimal"/>
      <w:lvlText w:val="%1."/>
      <w:lvlJc w:val="left"/>
      <w:pPr>
        <w:ind w:left="540" w:hanging="300"/>
      </w:pPr>
    </w:lvl>
  </w:abstractNum>
  <w:abstractNum w:abstractNumId="30" w15:restartNumberingAfterBreak="0">
    <w:multiLevelType w:val="hybridMultilevel"/>
    <w:lvl w:ilvl="0" w15:tentative="1">
      <w:start w:val="1"/>
      <w:numFmt w:val="decimal"/>
      <w:lvlText w:val="%1."/>
      <w:lvlJc w:val="left"/>
      <w:pPr>
        <w:ind w:left="540" w:hanging="300"/>
      </w:pPr>
    </w:lvl>
  </w:abstractNum>
  <w:abstractNum w:abstractNumId="31" w15:restartNumberingAfterBreak="0">
    <w:multiLevelType w:val="hybridMultilevel"/>
    <w:lvl w:ilvl="0" w15:tentative="1">
      <w:start w:val="1"/>
      <w:numFmt w:val="decimal"/>
      <w:lvlText w:val="%1."/>
      <w:lvlJc w:val="left"/>
      <w:pPr>
        <w:ind w:left="540" w:hanging="300"/>
      </w:pPr>
    </w:lvl>
  </w:abstractNum>
  <w:abstractNum w:abstractNumId="32"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00" w:before="240"/>
      <w:outlineLvl w:val="0"/>
    </w:pPr>
    <w:rPr>
      <w:rFonts w:ascii="Arial" w:cs="Arial" w:eastAsia="Arial" w:hAnsi="Arial"/>
      <w:b/>
      <w:bCs/>
      <w:color w:val="24552C"/>
      <w:sz w:val="26"/>
      <w:szCs w:val="26"/>
    </w:rPr>
  </w:style>
  <w:style w:type="paragraph" w:styleId="Heading2">
    <w:name w:val="Heading 2"/>
    <w:basedOn w:val="Normal"/>
    <w:next w:val="Normal"/>
    <w:qFormat/>
    <w:pPr>
      <w:spacing w:after="80" w:before="180"/>
      <w:outlineLvl w:val="1"/>
    </w:pPr>
    <w:rPr>
      <w:rFonts w:ascii="Arial" w:cs="Arial" w:eastAsia="Arial" w:hAnsi="Arial"/>
      <w:b/>
      <w:bCs/>
      <w:color w:val="3A7D44"/>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evmtvtldn23bhx3furnx" Type="http://schemas.openxmlformats.org/officeDocument/2006/relationships/hyperlink" Target="https://earth5r.org/guides/brsr-core-guide/"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[Company name] BRSR Reporting Manual</dc:title>
  <dc:creator>Earth5R</dc:creator>
  <cp:lastModifiedBy>Un-named</cp:lastModifiedBy>
  <cp:revision>1</cp:revision>
  <dcterms:created xsi:type="dcterms:W3CDTF">2026-09-26T12:32:16.375Z</dcterms:created>
  <dcterms:modified xsi:type="dcterms:W3CDTF">2026-09-26T12:32:16.375Z</dcterms:modified>
</cp:coreProperties>
</file>

<file path=docProps/custom.xml><?xml version="1.0" encoding="utf-8"?>
<Properties xmlns="http://schemas.openxmlformats.org/officeDocument/2006/custom-properties" xmlns:vt="http://schemas.openxmlformats.org/officeDocument/2006/docPropsVTypes"/>
</file>