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CBAM Monitoring Plan: [Installation name]</w:t>
      </w:r>
    </w:p>
    <w:p>
      <w:pPr>
        <w:spacing w:after="200"/>
      </w:pPr>
      <w:r>
        <w:rPr>
          <w:i/>
          <w:iCs/>
          <w:color w:val="555555"/>
          <w:sz w:val="22"/>
          <w:szCs w:val="22"/>
        </w:rPr>
        <w:t xml:space="preserve">Model monitoring plan for an Indian installation producing CBAM goods</w:t>
      </w:r>
    </w:p>
    <w:p>
      <w:pPr>
        <w:shd w:fill="E9F2EA" w:color="auto" w:val="clear"/>
        <w:spacing w:after="120"/>
      </w:pPr>
      <w:r>
        <w:rPr>
          <w:sz w:val="19"/>
          <w:szCs w:val="19"/>
        </w:rPr>
        <w:t xml:space="preserve">How to use this template: a monitoring plan documents how your installation measures and calculates embedded emissions, so the numbers are repeatable and a verifier can test them. Replace every item in [square brackets] and align it with the EU CBAM methodology in force. Not legal or verification advice.</w:t>
      </w:r>
    </w:p>
    <w:p>
      <w:pPr>
        <w:shd w:fill="E9F2EA" w:color="auto" w:val="clear"/>
        <w:spacing w:after="300"/>
      </w:pPr>
      <w:r>
        <w:rPr>
          <w:sz w:val="19"/>
          <w:szCs w:val="19"/>
        </w:rPr>
        <w:t xml:space="preserve">Free to use and adapt, with credit: </w:t>
      </w:r>
      <w:hyperlink w:history="1" r:id="rIdcpgrtemumxjxobbwrxy6h">
        <w:r>
          <w:rPr>
            <w:rStyle w:val="Hyperlink"/>
            <w:sz w:val="19"/>
            <w:szCs w:val="19"/>
          </w:rPr>
          <w:t xml:space="preserve">CBAM Guide for Indian Exporters, Earth5R Guides No. 07</w:t>
        </w:r>
      </w:hyperlink>
    </w:p>
    <w:p>
      <w:pPr>
        <w:pStyle w:val="Heading1"/>
        <w:spacing w:after="100" w:before="240"/>
      </w:pPr>
      <w:r>
        <w:rPr>
          <w:b/>
          <w:bCs/>
          <w:color w:val="24552C"/>
          <w:sz w:val="26"/>
          <w:szCs w:val="26"/>
        </w:rPr>
        <w:t xml:space="preserve">1. General information</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400"/>
        <w:gridCol w:w="6106"/>
      </w:tblGrid>
      <w:tr>
        <w:trPr>
          <w:tblHeader/>
        </w:trPr>
        <w:tc>
          <w:tcPr>
            <w:tcW w:type="dxa" w:w="3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Item</w:t>
            </w:r>
          </w:p>
        </w:tc>
        <w:tc>
          <w:tcPr>
            <w:tcW w:type="dxa" w:w="61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Details</w:t>
            </w:r>
          </w:p>
        </w:tc>
      </w:tr>
      <w:tr>
        <w:trPr>
          <w:tblHeader w:val="false"/>
        </w:trPr>
        <w:tc>
          <w:tcPr>
            <w:tcW w:type="dxa" w:w="3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Installation and operator</w:t>
            </w:r>
          </w:p>
        </w:tc>
        <w:tc>
          <w:tcPr>
            <w:tcW w:type="dxa" w:w="6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Version and date</w:t>
            </w:r>
          </w:p>
        </w:tc>
        <w:tc>
          <w:tcPr>
            <w:tcW w:type="dxa" w:w="6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[v1.0, date]</w:t>
            </w:r>
          </w:p>
        </w:tc>
      </w:tr>
      <w:tr>
        <w:trPr>
          <w:tblHeader w:val="false"/>
        </w:trPr>
        <w:tc>
          <w:tcPr>
            <w:tcW w:type="dxa" w:w="3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Approved by</w:t>
            </w:r>
          </w:p>
        </w:tc>
        <w:tc>
          <w:tcPr>
            <w:tcW w:type="dxa" w:w="6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[name, designation]</w:t>
            </w:r>
          </w:p>
        </w:tc>
      </w:tr>
      <w:tr>
        <w:trPr>
          <w:tblHeader w:val="false"/>
        </w:trPr>
        <w:tc>
          <w:tcPr>
            <w:tcW w:type="dxa" w:w="3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Responsible for monitoring</w:t>
            </w:r>
          </w:p>
        </w:tc>
        <w:tc>
          <w:tcPr>
            <w:tcW w:type="dxa" w:w="6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[name, designation]</w:t>
            </w:r>
          </w:p>
        </w:tc>
      </w:tr>
      <w:tr>
        <w:trPr>
          <w:tblHeader w:val="false"/>
        </w:trPr>
        <w:tc>
          <w:tcPr>
            <w:tcW w:type="dxa" w:w="3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Reporting period</w:t>
            </w:r>
          </w:p>
        </w:tc>
        <w:tc>
          <w:tcPr>
            <w:tcW w:type="dxa" w:w="61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Calendar year</w:t>
            </w:r>
          </w:p>
        </w:tc>
      </w:tr>
    </w:tbl>
    <w:p>
      <w:pPr>
        <w:spacing w:after="120"/>
      </w:pPr>
    </w:p>
    <w:p>
      <w:pPr>
        <w:pStyle w:val="Heading1"/>
        <w:spacing w:after="100" w:before="240"/>
      </w:pPr>
      <w:r>
        <w:rPr>
          <w:b/>
          <w:bCs/>
          <w:color w:val="24552C"/>
          <w:sz w:val="26"/>
          <w:szCs w:val="26"/>
        </w:rPr>
        <w:t xml:space="preserve">2. Installation boundary and production processes</w:t>
      </w:r>
    </w:p>
    <w:p>
      <w:pPr>
        <w:spacing w:after="120"/>
      </w:pPr>
      <w:r>
        <w:rPr>
          <w:sz w:val="21"/>
          <w:szCs w:val="21"/>
        </w:rPr>
        <w:t xml:space="preserve">Describe the installation, attach a simplified process flow diagram, and list each production process that makes CBAM goods, with the system boundary for each (aligned to EU ETS boundaries). Identify shared utilities (power plant, boilers, oxygen plant) and how their emissions are allocated.</w:t>
      </w:r>
    </w:p>
    <w:p>
      <w:pPr>
        <w:pStyle w:val="Heading1"/>
        <w:spacing w:after="100" w:before="240"/>
      </w:pPr>
      <w:r>
        <w:rPr>
          <w:b/>
          <w:bCs/>
          <w:color w:val="24552C"/>
          <w:sz w:val="26"/>
          <w:szCs w:val="26"/>
        </w:rPr>
        <w:t xml:space="preserve">3. Emission sources and source streams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2000"/>
        <w:gridCol w:w="2000"/>
        <w:gridCol w:w="1706"/>
      </w:tblGrid>
      <w:tr>
        <w:trPr>
          <w:tblHeader/>
        </w:trPr>
        <w:tc>
          <w:tcPr>
            <w:tcW w:type="dxa" w:w="22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Source stream</w:t>
            </w:r>
          </w:p>
        </w:tc>
        <w:tc>
          <w:tcPr>
            <w:tcW w:type="dxa" w:w="1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Type</w:t>
            </w:r>
          </w:p>
        </w:tc>
        <w:tc>
          <w:tcPr>
            <w:tcW w:type="dxa" w:w="2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Process</w:t>
            </w:r>
          </w:p>
        </w:tc>
        <w:tc>
          <w:tcPr>
            <w:tcW w:type="dxa" w:w="2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Measurement</w:t>
            </w:r>
          </w:p>
        </w:tc>
        <w:tc>
          <w:tcPr>
            <w:tcW w:type="dxa" w:w="17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Tier / uncertainty</w:t>
            </w:r>
          </w:p>
        </w:tc>
      </w:tr>
      <w:tr>
        <w:trPr>
          <w:tblHeader w:val="false"/>
        </w:trPr>
        <w:tc>
          <w:tcPr>
            <w:tcW w:type="dxa" w:w="2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[coking coal]</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Fuel</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[BF]</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[weighbridge, lab analysis]</w:t>
            </w:r>
          </w:p>
        </w:tc>
        <w:tc>
          <w:tcPr>
            <w:tcW w:type="dxa" w:w="17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[natural gas]</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Fuel</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[reheating]</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[flow meter]</w:t>
            </w:r>
          </w:p>
        </w:tc>
        <w:tc>
          <w:tcPr>
            <w:tcW w:type="dxa" w:w="17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[limestone]</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Process material</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[sinter]</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[purchase records]</w:t>
            </w:r>
          </w:p>
        </w:tc>
        <w:tc>
          <w:tcPr>
            <w:tcW w:type="dxa" w:w="17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[electricity]</w:t>
            </w:r>
          </w:p>
        </w:tc>
        <w:tc>
          <w:tcPr>
            <w:tcW w:type="dxa" w:w="1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Indirect</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[all]</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[utility meters]</w:t>
            </w:r>
          </w:p>
        </w:tc>
        <w:tc>
          <w:tcPr>
            <w:tcW w:type="dxa" w:w="17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pStyle w:val="Heading1"/>
        <w:spacing w:after="100" w:before="240"/>
      </w:pPr>
      <w:r>
        <w:rPr>
          <w:b/>
          <w:bCs/>
          <w:color w:val="24552C"/>
          <w:sz w:val="26"/>
          <w:szCs w:val="26"/>
        </w:rPr>
        <w:t xml:space="preserve">4. Calculation methods</w:t>
      </w:r>
    </w:p>
    <w:p>
      <w:pPr>
        <w:pStyle w:val="ListParagraph"/>
        <w:numPr>
          <w:ilvl w:val="0"/>
          <w:numId w:val="2"/>
        </w:numPr>
        <w:spacing w:after="80"/>
      </w:pPr>
      <w:r>
        <w:rPr>
          <w:sz w:val="21"/>
          <w:szCs w:val="21"/>
        </w:rPr>
        <w:t xml:space="preserve">Emissions = activity data × emission factor × oxidation or conversion factor, for each source stream; or measurement-based for [ ].</w:t>
      </w:r>
    </w:p>
    <w:p>
      <w:pPr>
        <w:pStyle w:val="ListParagraph"/>
        <w:numPr>
          <w:ilvl w:val="0"/>
          <w:numId w:val="2"/>
        </w:numPr>
        <w:spacing w:after="80"/>
      </w:pPr>
      <w:r>
        <w:rPr>
          <w:sz w:val="21"/>
          <w:szCs w:val="21"/>
        </w:rPr>
        <w:t xml:space="preserve">Emission factors and net calorific values: [laboratory analysis per [standard] at [frequency] / IPCC defaults].</w:t>
      </w:r>
    </w:p>
    <w:p>
      <w:pPr>
        <w:pStyle w:val="ListParagraph"/>
        <w:numPr>
          <w:ilvl w:val="0"/>
          <w:numId w:val="2"/>
        </w:numPr>
        <w:spacing w:after="80"/>
      </w:pPr>
      <w:r>
        <w:rPr>
          <w:sz w:val="21"/>
          <w:szCs w:val="21"/>
        </w:rPr>
        <w:t xml:space="preserve">Mass balance approach for carbon in iron and steel where applicable: [ ].</w:t>
      </w:r>
    </w:p>
    <w:p>
      <w:pPr>
        <w:pStyle w:val="ListParagraph"/>
        <w:numPr>
          <w:ilvl w:val="0"/>
          <w:numId w:val="2"/>
        </w:numPr>
        <w:spacing w:after="80"/>
      </w:pPr>
      <w:r>
        <w:rPr>
          <w:sz w:val="21"/>
          <w:szCs w:val="21"/>
        </w:rPr>
        <w:t xml:space="preserve">Attribution of emissions to each production process and then to products: [method].</w:t>
      </w:r>
    </w:p>
    <w:p>
      <w:pPr>
        <w:pStyle w:val="ListParagraph"/>
        <w:numPr>
          <w:ilvl w:val="0"/>
          <w:numId w:val="2"/>
        </w:numPr>
        <w:spacing w:after="80"/>
      </w:pPr>
      <w:r>
        <w:rPr>
          <w:sz w:val="21"/>
          <w:szCs w:val="21"/>
        </w:rPr>
        <w:t xml:space="preserve">Precursors: actual data from suppliers where available, otherwise default values, identified as such.</w:t>
      </w:r>
    </w:p>
    <w:p>
      <w:pPr>
        <w:pStyle w:val="Heading1"/>
        <w:spacing w:after="100" w:before="240"/>
      </w:pPr>
      <w:r>
        <w:rPr>
          <w:b/>
          <w:bCs/>
          <w:color w:val="24552C"/>
          <w:sz w:val="26"/>
          <w:szCs w:val="26"/>
        </w:rPr>
        <w:t xml:space="preserve">5. Electricity and heat</w:t>
      </w:r>
    </w:p>
    <w:p>
      <w:pPr>
        <w:pStyle w:val="ListParagraph"/>
        <w:numPr>
          <w:ilvl w:val="0"/>
          <w:numId w:val="2"/>
        </w:numPr>
        <w:spacing w:after="80"/>
      </w:pPr>
      <w:r>
        <w:rPr>
          <w:sz w:val="21"/>
          <w:szCs w:val="21"/>
        </w:rPr>
        <w:t xml:space="preserve">Electricity consumption per process: [metering points].</w:t>
      </w:r>
    </w:p>
    <w:p>
      <w:pPr>
        <w:pStyle w:val="ListParagraph"/>
        <w:numPr>
          <w:ilvl w:val="0"/>
          <w:numId w:val="2"/>
        </w:numPr>
        <w:spacing w:after="80"/>
      </w:pPr>
      <w:r>
        <w:rPr>
          <w:sz w:val="21"/>
          <w:szCs w:val="21"/>
        </w:rPr>
        <w:t xml:space="preserve">Emission factor: [grid / captive plant / PPA], with the source and year.</w:t>
      </w:r>
    </w:p>
    <w:p>
      <w:pPr>
        <w:pStyle w:val="ListParagraph"/>
        <w:numPr>
          <w:ilvl w:val="0"/>
          <w:numId w:val="2"/>
        </w:numPr>
        <w:spacing w:after="80"/>
      </w:pPr>
      <w:r>
        <w:rPr>
          <w:sz w:val="21"/>
          <w:szCs w:val="21"/>
        </w:rPr>
        <w:t xml:space="preserve">Heat imported or exported and how it is accounted for: [ ].</w:t>
      </w:r>
    </w:p>
    <w:p>
      <w:pPr>
        <w:pStyle w:val="Heading1"/>
        <w:spacing w:after="100" w:before="240"/>
      </w:pPr>
      <w:r>
        <w:rPr>
          <w:b/>
          <w:bCs/>
          <w:color w:val="24552C"/>
          <w:sz w:val="26"/>
          <w:szCs w:val="26"/>
        </w:rPr>
        <w:t xml:space="preserve">6. Data flow and control</w:t>
      </w:r>
    </w:p>
    <w:p>
      <w:pPr>
        <w:pStyle w:val="ListParagraph"/>
        <w:numPr>
          <w:ilvl w:val="0"/>
          <w:numId w:val="2"/>
        </w:numPr>
        <w:spacing w:after="80"/>
      </w:pPr>
      <w:r>
        <w:rPr>
          <w:sz w:val="21"/>
          <w:szCs w:val="21"/>
        </w:rPr>
        <w:t xml:space="preserve">Data sources, owners and frequency for each input.</w:t>
      </w:r>
    </w:p>
    <w:p>
      <w:pPr>
        <w:pStyle w:val="ListParagraph"/>
        <w:numPr>
          <w:ilvl w:val="0"/>
          <w:numId w:val="2"/>
        </w:numPr>
        <w:spacing w:after="80"/>
      </w:pPr>
      <w:r>
        <w:rPr>
          <w:sz w:val="21"/>
          <w:szCs w:val="21"/>
        </w:rPr>
        <w:t xml:space="preserve">Data transfer from meters and ERP to the calculation file; version control.</w:t>
      </w:r>
    </w:p>
    <w:p>
      <w:pPr>
        <w:pStyle w:val="ListParagraph"/>
        <w:numPr>
          <w:ilvl w:val="0"/>
          <w:numId w:val="2"/>
        </w:numPr>
        <w:spacing w:after="80"/>
      </w:pPr>
      <w:r>
        <w:rPr>
          <w:sz w:val="21"/>
          <w:szCs w:val="21"/>
        </w:rPr>
        <w:t xml:space="preserve">Maker-checker review; reconciliation of fuel purchases to consumption and stock.</w:t>
      </w:r>
    </w:p>
    <w:p>
      <w:pPr>
        <w:pStyle w:val="ListParagraph"/>
        <w:numPr>
          <w:ilvl w:val="0"/>
          <w:numId w:val="2"/>
        </w:numPr>
        <w:spacing w:after="80"/>
      </w:pPr>
      <w:r>
        <w:rPr>
          <w:sz w:val="21"/>
          <w:szCs w:val="21"/>
        </w:rPr>
        <w:t xml:space="preserve">Meter calibration schedule and records.</w:t>
      </w:r>
    </w:p>
    <w:p>
      <w:pPr>
        <w:pStyle w:val="ListParagraph"/>
        <w:numPr>
          <w:ilvl w:val="0"/>
          <w:numId w:val="2"/>
        </w:numPr>
        <w:spacing w:after="80"/>
      </w:pPr>
      <w:r>
        <w:rPr>
          <w:sz w:val="21"/>
          <w:szCs w:val="21"/>
        </w:rPr>
        <w:t xml:space="preserve">Treatment of data gaps: [conservative estimation method], documented.</w:t>
      </w:r>
    </w:p>
    <w:p>
      <w:pPr>
        <w:pStyle w:val="Heading1"/>
        <w:spacing w:after="100" w:before="240"/>
      </w:pPr>
      <w:r>
        <w:rPr>
          <w:b/>
          <w:bCs/>
          <w:color w:val="24552C"/>
          <w:sz w:val="26"/>
          <w:szCs w:val="26"/>
        </w:rPr>
        <w:t xml:space="preserve">7. Quality assurance and verification</w:t>
      </w:r>
    </w:p>
    <w:p>
      <w:pPr>
        <w:pStyle w:val="ListParagraph"/>
        <w:numPr>
          <w:ilvl w:val="0"/>
          <w:numId w:val="2"/>
        </w:numPr>
        <w:spacing w:after="80"/>
      </w:pPr>
      <w:r>
        <w:rPr>
          <w:sz w:val="21"/>
          <w:szCs w:val="21"/>
        </w:rPr>
        <w:t xml:space="preserve">Internal review before sending data to importers.</w:t>
      </w:r>
    </w:p>
    <w:p>
      <w:pPr>
        <w:pStyle w:val="ListParagraph"/>
        <w:numPr>
          <w:ilvl w:val="0"/>
          <w:numId w:val="2"/>
        </w:numPr>
        <w:spacing w:after="80"/>
      </w:pPr>
      <w:r>
        <w:rPr>
          <w:sz w:val="21"/>
          <w:szCs w:val="21"/>
        </w:rPr>
        <w:t xml:space="preserve">External verification by an accredited verifier for actual values; site visit plan.</w:t>
      </w:r>
    </w:p>
    <w:p>
      <w:pPr>
        <w:pStyle w:val="ListParagraph"/>
        <w:numPr>
          <w:ilvl w:val="0"/>
          <w:numId w:val="2"/>
        </w:numPr>
        <w:spacing w:after="80"/>
      </w:pPr>
      <w:r>
        <w:rPr>
          <w:sz w:val="21"/>
          <w:szCs w:val="21"/>
        </w:rPr>
        <w:t xml:space="preserve">Corrective actions log for verifier findings.</w:t>
      </w:r>
    </w:p>
    <w:p>
      <w:pPr>
        <w:pStyle w:val="Heading1"/>
        <w:spacing w:after="100" w:before="240"/>
      </w:pPr>
      <w:r>
        <w:rPr>
          <w:b/>
          <w:bCs/>
          <w:color w:val="24552C"/>
          <w:sz w:val="26"/>
          <w:szCs w:val="26"/>
        </w:rPr>
        <w:t xml:space="preserve">8. Records and retention</w:t>
      </w:r>
    </w:p>
    <w:p>
      <w:pPr>
        <w:spacing w:after="120"/>
      </w:pPr>
      <w:r>
        <w:rPr>
          <w:sz w:val="21"/>
          <w:szCs w:val="21"/>
        </w:rPr>
        <w:t xml:space="preserve">Keep all records, calculations and evidence for at least [four] years after the reporting period, available to importers' verifiers and competent authorities on request.</w:t>
      </w:r>
    </w:p>
    <w:p>
      <w:pPr>
        <w:pStyle w:val="Heading1"/>
        <w:spacing w:after="100" w:before="240"/>
      </w:pPr>
      <w:r>
        <w:rPr>
          <w:b/>
          <w:bCs/>
          <w:color w:val="24552C"/>
          <w:sz w:val="26"/>
          <w:szCs w:val="26"/>
        </w:rPr>
        <w:t xml:space="preserve">9. Changes to this plan</w:t>
      </w:r>
    </w:p>
    <w:p>
      <w:pPr>
        <w:spacing w:after="120"/>
      </w:pPr>
      <w:r>
        <w:rPr>
          <w:sz w:val="21"/>
          <w:szCs w:val="21"/>
        </w:rPr>
        <w:t xml:space="preserve">Update this plan when processes, fuels, metering or EU rules change. Record each change, the date and the reason.</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earth5r.org/guides/cbam-guide-indian-exporters · Not legal advice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grtemumxjxobbwrxy6h" Type="http://schemas.openxmlformats.org/officeDocument/2006/relationships/hyperlink" Target="https://earth5r.org/guides/cbam-guide-indian-exporter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CBAM Monitoring Plan: [Installation name]</dc:title>
  <dc:creator>Earth5R</dc:creator>
  <cp:lastModifiedBy>Un-named</cp:lastModifiedBy>
  <cp:revision>1</cp:revision>
  <dcterms:created xsi:type="dcterms:W3CDTF">2026-09-27T08:56:44.009Z</dcterms:created>
  <dcterms:modified xsi:type="dcterms:W3CDTF">2026-09-27T08:56:44.009Z</dcterms:modified>
</cp:coreProperties>
</file>

<file path=docProps/custom.xml><?xml version="1.0" encoding="utf-8"?>
<Properties xmlns="http://schemas.openxmlformats.org/officeDocument/2006/custom-properties" xmlns:vt="http://schemas.openxmlformats.org/officeDocument/2006/docPropsVTypes"/>
</file>