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3A7D44"/>
          <w:sz w:val="18"/>
          <w:szCs w:val="18"/>
        </w:rPr>
        <w:t xml:space="preserve">EARTH5R GUIDES · MODEL TEMPLATE</w:t>
      </w:r>
    </w:p>
    <w:p>
      <w:pPr>
        <w:pStyle w:val="Title"/>
      </w:pPr>
      <w:r>
        <w:rPr>
          <w:b/>
          <w:bCs/>
          <w:sz w:val="40"/>
          <w:szCs w:val="40"/>
        </w:rPr>
        <w:t xml:space="preserve">[Company name] Corporate Social Responsibility Policy</w:t>
      </w:r>
    </w:p>
    <w:p>
      <w:pPr>
        <w:spacing w:after="200"/>
      </w:pPr>
      <w:r>
        <w:rPr>
          <w:i/>
          <w:iCs/>
          <w:color w:val="555555"/>
          <w:sz w:val="22"/>
          <w:szCs w:val="22"/>
        </w:rPr>
        <w:t xml:space="preserve">Model template for Indian companies under Section 135 of the Companies Act, 2013</w:t>
      </w:r>
    </w:p>
    <w:p>
      <w:pPr>
        <w:shd w:fill="E9F2EA" w:color="auto" w:val="clear"/>
        <w:spacing w:after="120"/>
      </w:pPr>
      <w:r>
        <w:rPr>
          <w:sz w:val="19"/>
          <w:szCs w:val="19"/>
        </w:rPr>
        <w:t xml:space="preserve">How to use this template: replace every item in [square brackets], delete options that do not apply, and have the final text reviewed by your company secretary and legal adviser before the CSR Committee recommends it to the Board. This template reflects the Companies (CSR Policy) Rules, 2014 as amended up to May 2026. It is not legal advice.</w:t>
      </w:r>
    </w:p>
    <w:p>
      <w:pPr>
        <w:shd w:fill="E9F2EA" w:color="auto" w:val="clear"/>
        <w:spacing w:after="300"/>
      </w:pPr>
      <w:r>
        <w:rPr>
          <w:sz w:val="19"/>
          <w:szCs w:val="19"/>
        </w:rPr>
        <w:t xml:space="preserve">Free to use and adapt, with credit: </w:t>
      </w:r>
      <w:hyperlink w:history="1" r:id="rIdges9nsw-pksghxbpffmzr">
        <w:r>
          <w:rPr>
            <w:rStyle w:val="Hyperlink"/>
            <w:sz w:val="19"/>
            <w:szCs w:val="19"/>
          </w:rPr>
          <w:t xml:space="preserve">How to Design a CSR Policy, Earth5R Guides No. 03</w:t>
        </w:r>
      </w:hyperlink>
    </w:p>
    <w:p>
      <w:pPr>
        <w:pStyle w:val="Heading1"/>
        <w:spacing w:after="100" w:before="240"/>
      </w:pPr>
      <w:r>
        <w:rPr>
          <w:b/>
          <w:bCs/>
          <w:color w:val="24552C"/>
          <w:sz w:val="26"/>
          <w:szCs w:val="26"/>
        </w:rPr>
        <w:t xml:space="preserve">1. Purpose and philosophy</w:t>
      </w:r>
    </w:p>
    <w:p>
      <w:pPr>
        <w:spacing w:after="120"/>
      </w:pPr>
      <w:r>
        <w:rPr>
          <w:sz w:val="21"/>
          <w:szCs w:val="21"/>
        </w:rPr>
        <w:t xml:space="preserve">[Company name] ("the Company") believes that [one or two sentences, in the Company's own words, on why it does CSR and how this connects to its business, people and communities].</w:t>
      </w:r>
    </w:p>
    <w:p>
      <w:pPr>
        <w:spacing w:after="120"/>
      </w:pPr>
      <w:r>
        <w:rPr>
          <w:sz w:val="21"/>
          <w:szCs w:val="21"/>
        </w:rPr>
        <w:t xml:space="preserve">This Policy sets out the Company's approach to Corporate Social Responsibility (CSR) in line with Section 135 of the Companies Act, 2013 ("the Act"), Schedule VII to the Act and the Companies (Corporate Social Responsibility Policy) Rules, 2014 ("the Rules"). It provides the guiding principles for selecting, implementing and monitoring CSR activities and for formulating the Annual Action Plan.</w:t>
      </w:r>
    </w:p>
    <w:p>
      <w:pPr>
        <w:pStyle w:val="Heading1"/>
        <w:spacing w:after="100" w:before="240"/>
      </w:pPr>
      <w:r>
        <w:rPr>
          <w:b/>
          <w:bCs/>
          <w:color w:val="24552C"/>
          <w:sz w:val="26"/>
          <w:szCs w:val="26"/>
        </w:rPr>
        <w:t xml:space="preserve">2. Scope</w:t>
      </w:r>
    </w:p>
    <w:p>
      <w:pPr>
        <w:spacing w:after="120"/>
      </w:pPr>
      <w:r>
        <w:rPr>
          <w:sz w:val="21"/>
          <w:szCs w:val="21"/>
        </w:rPr>
        <w:t xml:space="preserve">This Policy applies to all CSR activities undertaken by the Company, directly or through implementing agencies, in India. [Add: whether subsidiaries covered by Section 135 adopt this Policy or their own.]</w:t>
      </w:r>
    </w:p>
    <w:p>
      <w:pPr>
        <w:pStyle w:val="Heading1"/>
        <w:spacing w:after="100" w:before="240"/>
      </w:pPr>
      <w:r>
        <w:rPr>
          <w:b/>
          <w:bCs/>
          <w:color w:val="24552C"/>
          <w:sz w:val="26"/>
          <w:szCs w:val="26"/>
        </w:rPr>
        <w:t xml:space="preserve">3. Focus areas</w:t>
      </w:r>
    </w:p>
    <w:p>
      <w:pPr>
        <w:spacing w:after="120"/>
      </w:pPr>
      <w:r>
        <w:rPr>
          <w:sz w:val="21"/>
          <w:szCs w:val="21"/>
        </w:rPr>
        <w:t xml:space="preserve">The Company will concentrate its CSR on the following focus areas, each within Schedule VII to the Act:</w:t>
      </w:r>
    </w:p>
    <w:p>
      <w:pPr>
        <w:pStyle w:val="ListParagraph"/>
        <w:numPr>
          <w:ilvl w:val="0"/>
          <w:numId w:val="2"/>
        </w:numPr>
        <w:spacing w:after="80"/>
      </w:pPr>
      <w:r>
        <w:rPr>
          <w:sz w:val="21"/>
          <w:szCs w:val="21"/>
        </w:rPr>
        <w:t xml:space="preserve">[Focus area 1, e.g. water and environmental sustainability]: Schedule VII item [(iv)]. Reason: [link to business, local need, capability].</w:t>
      </w:r>
    </w:p>
    <w:p>
      <w:pPr>
        <w:pStyle w:val="ListParagraph"/>
        <w:numPr>
          <w:ilvl w:val="0"/>
          <w:numId w:val="2"/>
        </w:numPr>
        <w:spacing w:after="80"/>
      </w:pPr>
      <w:r>
        <w:rPr>
          <w:sz w:val="21"/>
          <w:szCs w:val="21"/>
        </w:rPr>
        <w:t xml:space="preserve">[Focus area 2, e.g. education and livelihoods]: Schedule VII item [(ii)]. Reason: [ ].</w:t>
      </w:r>
    </w:p>
    <w:p>
      <w:pPr>
        <w:pStyle w:val="ListParagraph"/>
        <w:numPr>
          <w:ilvl w:val="0"/>
          <w:numId w:val="2"/>
        </w:numPr>
        <w:spacing w:after="80"/>
      </w:pPr>
      <w:r>
        <w:rPr>
          <w:sz w:val="21"/>
          <w:szCs w:val="21"/>
        </w:rPr>
        <w:t xml:space="preserve">[Focus area 3, optional]: Schedule VII item [ ]. Reason: [ ].</w:t>
      </w:r>
    </w:p>
    <w:p>
      <w:pPr>
        <w:pStyle w:val="ListParagraph"/>
        <w:numPr>
          <w:ilvl w:val="0"/>
          <w:numId w:val="2"/>
        </w:numPr>
        <w:spacing w:after="80"/>
      </w:pPr>
      <w:r>
        <w:rPr>
          <w:sz w:val="21"/>
          <w:szCs w:val="21"/>
        </w:rPr>
        <w:t xml:space="preserve">Disaster relief and rehabilitation (Schedule VII item (xii)) when the CSR Committee considers it necessary.</w:t>
      </w:r>
    </w:p>
    <w:p>
      <w:pPr>
        <w:spacing w:after="120"/>
      </w:pPr>
      <w:r>
        <w:rPr>
          <w:sz w:val="21"/>
          <w:szCs w:val="21"/>
        </w:rPr>
        <w:t xml:space="preserve">The Company may take up other activities within Schedule VII on the recommendation of the CSR Committee, with reasons recorded.</w:t>
      </w:r>
    </w:p>
    <w:p>
      <w:pPr>
        <w:pStyle w:val="Heading1"/>
        <w:spacing w:after="100" w:before="240"/>
      </w:pPr>
      <w:r>
        <w:rPr>
          <w:b/>
          <w:bCs/>
          <w:color w:val="24552C"/>
          <w:sz w:val="26"/>
          <w:szCs w:val="26"/>
        </w:rPr>
        <w:t xml:space="preserve">4. Geography and beneficiaries</w:t>
      </w:r>
    </w:p>
    <w:p>
      <w:pPr>
        <w:spacing w:after="120"/>
      </w:pPr>
      <w:r>
        <w:rPr>
          <w:sz w:val="21"/>
          <w:szCs w:val="21"/>
        </w:rPr>
        <w:t xml:space="preserve">The Company will give preference to the local areas around its operations, namely [list states, districts or sites], and to aspirational districts where relevant. Priority beneficiaries are [e.g. women, Scheduled Castes, Scheduled Tribes, people with disabilities, households below the poverty line, informal waste workers].</w:t>
      </w:r>
    </w:p>
    <w:p>
      <w:pPr>
        <w:pStyle w:val="Heading1"/>
        <w:spacing w:after="100" w:before="240"/>
      </w:pPr>
      <w:r>
        <w:rPr>
          <w:b/>
          <w:bCs/>
          <w:color w:val="24552C"/>
          <w:sz w:val="26"/>
          <w:szCs w:val="26"/>
        </w:rPr>
        <w:t xml:space="preserve">5. Delivery model</w:t>
      </w:r>
    </w:p>
    <w:p>
      <w:pPr>
        <w:spacing w:after="120"/>
      </w:pPr>
      <w:r>
        <w:rPr>
          <w:sz w:val="21"/>
          <w:szCs w:val="21"/>
        </w:rPr>
        <w:t xml:space="preserve">The Company may undertake CSR activities:</w:t>
      </w:r>
    </w:p>
    <w:p>
      <w:pPr>
        <w:pStyle w:val="ListParagraph"/>
        <w:numPr>
          <w:ilvl w:val="0"/>
          <w:numId w:val="2"/>
        </w:numPr>
        <w:spacing w:after="80"/>
      </w:pPr>
      <w:r>
        <w:rPr>
          <w:sz w:val="21"/>
          <w:szCs w:val="21"/>
        </w:rPr>
        <w:t xml:space="preserve">directly;</w:t>
      </w:r>
    </w:p>
    <w:p>
      <w:pPr>
        <w:pStyle w:val="ListParagraph"/>
        <w:numPr>
          <w:ilvl w:val="0"/>
          <w:numId w:val="2"/>
        </w:numPr>
        <w:spacing w:after="80"/>
      </w:pPr>
      <w:r>
        <w:rPr>
          <w:sz w:val="21"/>
          <w:szCs w:val="21"/>
        </w:rPr>
        <w:t xml:space="preserve">through [name of the Company's foundation, if any], a [Section 8 company / registered trust / registered society] established by the Company;</w:t>
      </w:r>
    </w:p>
    <w:p>
      <w:pPr>
        <w:pStyle w:val="ListParagraph"/>
        <w:numPr>
          <w:ilvl w:val="0"/>
          <w:numId w:val="2"/>
        </w:numPr>
        <w:spacing w:after="80"/>
      </w:pPr>
      <w:r>
        <w:rPr>
          <w:sz w:val="21"/>
          <w:szCs w:val="21"/>
        </w:rPr>
        <w:t xml:space="preserve">through implementing agencies eligible under Rule 4(1): a Section 8 company, registered public trust or registered society with registration under section 12A and approval under section 80G of the Income-tax Act (or the corresponding provisions of the law in force), or under section 10(23C), with an established track record of at least three years in similar activities, or an entity established by the Central or a State Government or by statute;</w:t>
      </w:r>
    </w:p>
    <w:p>
      <w:pPr>
        <w:pStyle w:val="ListParagraph"/>
        <w:numPr>
          <w:ilvl w:val="0"/>
          <w:numId w:val="2"/>
        </w:numPr>
        <w:spacing w:after="80"/>
      </w:pPr>
      <w:r>
        <w:rPr>
          <w:sz w:val="21"/>
          <w:szCs w:val="21"/>
        </w:rPr>
        <w:t xml:space="preserve">in collaboration with other companies, where each company can report its CSR separately;</w:t>
      </w:r>
    </w:p>
    <w:p>
      <w:pPr>
        <w:pStyle w:val="ListParagraph"/>
        <w:numPr>
          <w:ilvl w:val="0"/>
          <w:numId w:val="2"/>
        </w:numPr>
        <w:spacing w:after="80"/>
      </w:pPr>
      <w:r>
        <w:rPr>
          <w:sz w:val="21"/>
          <w:szCs w:val="21"/>
        </w:rPr>
        <w:t xml:space="preserve">[optional] by subscribing to zero coupon zero principal instruments issued by not-for-profit organisations registered on a Social Stock Exchange, within the limit of ten percent of the CSR expenditure for the year under Rule 4A.</w:t>
      </w:r>
    </w:p>
    <w:p>
      <w:pPr>
        <w:spacing w:after="120"/>
      </w:pPr>
      <w:r>
        <w:rPr>
          <w:sz w:val="21"/>
          <w:szCs w:val="21"/>
        </w:rPr>
        <w:t xml:space="preserve">Every implementing agency must hold a valid CSR Registration Number. International organisations may be engaged only for designing, monitoring and evaluating CSR projects or for building the capacity of the Company's CSR personnel.</w:t>
      </w:r>
    </w:p>
    <w:p>
      <w:pPr>
        <w:pStyle w:val="Heading1"/>
        <w:spacing w:after="100" w:before="240"/>
      </w:pPr>
      <w:r>
        <w:rPr>
          <w:b/>
          <w:bCs/>
          <w:color w:val="24552C"/>
          <w:sz w:val="26"/>
          <w:szCs w:val="26"/>
        </w:rPr>
        <w:t xml:space="preserve">6. Partner selection and due diligence</w:t>
      </w:r>
    </w:p>
    <w:p>
      <w:pPr>
        <w:spacing w:after="120"/>
      </w:pPr>
      <w:r>
        <w:rPr>
          <w:sz w:val="21"/>
          <w:szCs w:val="21"/>
        </w:rPr>
        <w:t xml:space="preserve">Proposals will be invited [through an open call published on the Company's website / by invitation] and scored on published criteria: fit with focus areas and geography; quality of need assessment and baseline; theory of change and outcome indicators; track record and capacity; monitoring and data plan; sustainability and exit plan; and cost per outcome.</w:t>
      </w:r>
    </w:p>
    <w:p>
      <w:pPr>
        <w:spacing w:after="120"/>
      </w:pPr>
      <w:r>
        <w:rPr>
          <w:sz w:val="21"/>
          <w:szCs w:val="21"/>
        </w:rPr>
        <w:t xml:space="preserve">Before approval, the Company will check each implementing agency's registrations and CSR Registration Number, audited financial statements for the last three years, governance and related parties, conflicts of interest and political affiliations, past and pending litigation, references, and at least one current project in the field.</w:t>
      </w:r>
    </w:p>
    <w:p>
      <w:pPr>
        <w:pStyle w:val="Heading1"/>
        <w:spacing w:after="100" w:before="240"/>
      </w:pPr>
      <w:r>
        <w:rPr>
          <w:b/>
          <w:bCs/>
          <w:color w:val="24552C"/>
          <w:sz w:val="26"/>
          <w:szCs w:val="26"/>
        </w:rPr>
        <w:t xml:space="preserve">7. Project design standards</w:t>
      </w:r>
    </w:p>
    <w:p>
      <w:pPr>
        <w:spacing w:after="120"/>
      </w:pPr>
      <w:r>
        <w:rPr>
          <w:sz w:val="21"/>
          <w:szCs w:val="21"/>
        </w:rPr>
        <w:t xml:space="preserve">Every CSR project recommended to the Board will set out:</w:t>
      </w:r>
    </w:p>
    <w:p>
      <w:pPr>
        <w:pStyle w:val="ListParagraph"/>
        <w:numPr>
          <w:ilvl w:val="0"/>
          <w:numId w:val="2"/>
        </w:numPr>
        <w:spacing w:after="80"/>
      </w:pPr>
      <w:r>
        <w:rPr>
          <w:sz w:val="21"/>
          <w:szCs w:val="21"/>
        </w:rPr>
        <w:t xml:space="preserve">the need, supported by a need assessment or baseline data;</w:t>
      </w:r>
    </w:p>
    <w:p>
      <w:pPr>
        <w:pStyle w:val="ListParagraph"/>
        <w:numPr>
          <w:ilvl w:val="0"/>
          <w:numId w:val="2"/>
        </w:numPr>
        <w:spacing w:after="80"/>
      </w:pPr>
      <w:r>
        <w:rPr>
          <w:sz w:val="21"/>
          <w:szCs w:val="21"/>
        </w:rPr>
        <w:t xml:space="preserve">a theory of change linking activities to outputs and outcomes;</w:t>
      </w:r>
    </w:p>
    <w:p>
      <w:pPr>
        <w:pStyle w:val="ListParagraph"/>
        <w:numPr>
          <w:ilvl w:val="0"/>
          <w:numId w:val="2"/>
        </w:numPr>
        <w:spacing w:after="80"/>
      </w:pPr>
      <w:r>
        <w:rPr>
          <w:sz w:val="21"/>
          <w:szCs w:val="21"/>
        </w:rPr>
        <w:t xml:space="preserve">outcome indicators with baseline values and targets;</w:t>
      </w:r>
    </w:p>
    <w:p>
      <w:pPr>
        <w:pStyle w:val="ListParagraph"/>
        <w:numPr>
          <w:ilvl w:val="0"/>
          <w:numId w:val="2"/>
        </w:numPr>
        <w:spacing w:after="80"/>
      </w:pPr>
      <w:r>
        <w:rPr>
          <w:sz w:val="21"/>
          <w:szCs w:val="21"/>
        </w:rPr>
        <w:t xml:space="preserve">beneficiaries by group, location and number;</w:t>
      </w:r>
    </w:p>
    <w:p>
      <w:pPr>
        <w:pStyle w:val="ListParagraph"/>
        <w:numPr>
          <w:ilvl w:val="0"/>
          <w:numId w:val="2"/>
        </w:numPr>
        <w:spacing w:after="80"/>
      </w:pPr>
      <w:r>
        <w:rPr>
          <w:sz w:val="21"/>
          <w:szCs w:val="21"/>
        </w:rPr>
        <w:t xml:space="preserve">milestones, budget and disbursement schedule;</w:t>
      </w:r>
    </w:p>
    <w:p>
      <w:pPr>
        <w:pStyle w:val="ListParagraph"/>
        <w:numPr>
          <w:ilvl w:val="0"/>
          <w:numId w:val="2"/>
        </w:numPr>
        <w:spacing w:after="80"/>
      </w:pPr>
      <w:r>
        <w:rPr>
          <w:sz w:val="21"/>
          <w:szCs w:val="21"/>
        </w:rPr>
        <w:t xml:space="preserve">whether it is an ongoing project under Rule 2(1)(i), with its duration;</w:t>
      </w:r>
    </w:p>
    <w:p>
      <w:pPr>
        <w:pStyle w:val="ListParagraph"/>
        <w:numPr>
          <w:ilvl w:val="0"/>
          <w:numId w:val="2"/>
        </w:numPr>
        <w:spacing w:after="80"/>
      </w:pPr>
      <w:r>
        <w:rPr>
          <w:sz w:val="21"/>
          <w:szCs w:val="21"/>
        </w:rPr>
        <w:t xml:space="preserve">the owner of any capital asset created, in line with Rule 7(4);</w:t>
      </w:r>
    </w:p>
    <w:p>
      <w:pPr>
        <w:pStyle w:val="ListParagraph"/>
        <w:numPr>
          <w:ilvl w:val="0"/>
          <w:numId w:val="2"/>
        </w:numPr>
        <w:spacing w:after="80"/>
      </w:pPr>
      <w:r>
        <w:rPr>
          <w:sz w:val="21"/>
          <w:szCs w:val="21"/>
        </w:rPr>
        <w:t xml:space="preserve">an exit or sustainability plan describing who will continue the work when funding ends.</w:t>
      </w:r>
    </w:p>
    <w:p>
      <w:pPr>
        <w:pStyle w:val="Heading1"/>
        <w:spacing w:after="100" w:before="240"/>
      </w:pPr>
      <w:r>
        <w:rPr>
          <w:b/>
          <w:bCs/>
          <w:color w:val="24552C"/>
          <w:sz w:val="26"/>
          <w:szCs w:val="26"/>
        </w:rPr>
        <w:t xml:space="preserve">8. Governance</w:t>
      </w:r>
    </w:p>
    <w:p>
      <w:pPr>
        <w:spacing w:after="120"/>
      </w:pPr>
      <w:r>
        <w:rPr>
          <w:sz w:val="21"/>
          <w:szCs w:val="21"/>
        </w:rPr>
        <w:t xml:space="preserve">Board of Directors: approves this Policy and the Annual Action Plan, satisfies itself that funds have been used for the approved purposes, and ensures disclosures under the Act.</w:t>
      </w:r>
    </w:p>
    <w:p>
      <w:pPr>
        <w:spacing w:after="120"/>
      </w:pPr>
      <w:r>
        <w:rPr>
          <w:sz w:val="21"/>
          <w:szCs w:val="21"/>
        </w:rPr>
        <w:t xml:space="preserve">CSR Committee: [composition as required by Section 135, e.g. three directors including at least one independent director]. It formulates and recommends this Policy and the Annual Action Plan, monitors implementation [at least quarterly], and reviews impact assessments. [If the CSR obligation does not exceed fifty lakh rupees and no Committee is constituted, the Board performs these functions.]</w:t>
      </w:r>
    </w:p>
    <w:p>
      <w:pPr>
        <w:spacing w:after="120"/>
      </w:pPr>
      <w:r>
        <w:rPr>
          <w:sz w:val="21"/>
          <w:szCs w:val="21"/>
        </w:rPr>
        <w:t xml:space="preserve">CSR team: [designation] manages day-to-day implementation, partner relationships, monitoring and reporting.</w:t>
      </w:r>
    </w:p>
    <w:p>
      <w:pPr>
        <w:spacing w:after="120"/>
      </w:pPr>
      <w:r>
        <w:rPr>
          <w:sz w:val="21"/>
          <w:szCs w:val="21"/>
        </w:rPr>
        <w:t xml:space="preserve">Chief Financial Officer: certifies that the funds disbursed have been used for the purposes and in the manner approved by the Board.</w:t>
      </w:r>
    </w:p>
    <w:p>
      <w:pPr>
        <w:pStyle w:val="Heading1"/>
        <w:spacing w:after="100" w:before="240"/>
      </w:pPr>
      <w:r>
        <w:rPr>
          <w:b/>
          <w:bCs/>
          <w:color w:val="24552C"/>
          <w:sz w:val="26"/>
          <w:szCs w:val="26"/>
        </w:rPr>
        <w:t xml:space="preserve">9. Annual Action Plan</w:t>
      </w:r>
    </w:p>
    <w:p>
      <w:pPr>
        <w:spacing w:after="120"/>
      </w:pPr>
      <w:r>
        <w:rPr>
          <w:sz w:val="21"/>
          <w:szCs w:val="21"/>
        </w:rPr>
        <w:t xml:space="preserve">Each year the CSR Committee will recommend to the Board an Annual Action Plan in line with Rule 5(2), listing the approved projects, the manner of execution, the modalities of utilisation of funds and implementation schedules, the monitoring and reporting mechanism, and details of need and impact assessment, if any. The Board may alter the plan during the year on the recommendation of the Committee, based on reasonable justification.</w:t>
      </w:r>
    </w:p>
    <w:p>
      <w:pPr>
        <w:pStyle w:val="Heading1"/>
        <w:spacing w:after="100" w:before="240"/>
      </w:pPr>
      <w:r>
        <w:rPr>
          <w:b/>
          <w:bCs/>
          <w:color w:val="24552C"/>
          <w:sz w:val="26"/>
          <w:szCs w:val="26"/>
        </w:rPr>
        <w:t xml:space="preserve">10. Fund management</w:t>
      </w:r>
    </w:p>
    <w:p>
      <w:pPr>
        <w:pStyle w:val="ListParagraph"/>
        <w:numPr>
          <w:ilvl w:val="0"/>
          <w:numId w:val="2"/>
        </w:numPr>
        <w:spacing w:after="80"/>
      </w:pPr>
      <w:r>
        <w:rPr>
          <w:sz w:val="21"/>
          <w:szCs w:val="21"/>
        </w:rPr>
        <w:t xml:space="preserve">The Company will spend in each financial year at least two percent of its average net profits made during the three immediately preceding financial years, calculated in accordance with Section 198.</w:t>
      </w:r>
    </w:p>
    <w:p>
      <w:pPr>
        <w:pStyle w:val="ListParagraph"/>
        <w:numPr>
          <w:ilvl w:val="0"/>
          <w:numId w:val="2"/>
        </w:numPr>
        <w:spacing w:after="80"/>
      </w:pPr>
      <w:r>
        <w:rPr>
          <w:sz w:val="21"/>
          <w:szCs w:val="21"/>
        </w:rPr>
        <w:t xml:space="preserve">Funds will be released to implementing agencies in tranches against verified utilisation and milestones.</w:t>
      </w:r>
    </w:p>
    <w:p>
      <w:pPr>
        <w:pStyle w:val="ListParagraph"/>
        <w:numPr>
          <w:ilvl w:val="0"/>
          <w:numId w:val="2"/>
        </w:numPr>
        <w:spacing w:after="80"/>
      </w:pPr>
      <w:r>
        <w:rPr>
          <w:sz w:val="21"/>
          <w:szCs w:val="21"/>
        </w:rPr>
        <w:t xml:space="preserve">Any amount remaining unspent in respect of an ongoing project will be transferred to the Unspent CSR Account within thirty days from the end of the financial year and spent within three financial years; other unspent amounts will be transferred to a fund specified in Schedule VII within six months of the end of the financial year, as required by Section 135(5) and (6).</w:t>
      </w:r>
    </w:p>
    <w:p>
      <w:pPr>
        <w:pStyle w:val="ListParagraph"/>
        <w:numPr>
          <w:ilvl w:val="0"/>
          <w:numId w:val="2"/>
        </w:numPr>
        <w:spacing w:after="80"/>
      </w:pPr>
      <w:r>
        <w:rPr>
          <w:sz w:val="21"/>
          <w:szCs w:val="21"/>
        </w:rPr>
        <w:t xml:space="preserve">Any surplus arising from CSR activities will not form part of business profits and will be dealt with under Rule 7(2).</w:t>
      </w:r>
    </w:p>
    <w:p>
      <w:pPr>
        <w:pStyle w:val="ListParagraph"/>
        <w:numPr>
          <w:ilvl w:val="0"/>
          <w:numId w:val="2"/>
        </w:numPr>
        <w:spacing w:after="80"/>
      </w:pPr>
      <w:r>
        <w:rPr>
          <w:sz w:val="21"/>
          <w:szCs w:val="21"/>
        </w:rPr>
        <w:t xml:space="preserve">Excess CSR spend may be set off against the obligation of up to the three succeeding financial years, as permitted by Rule 7(3), with a resolution of the Board.</w:t>
      </w:r>
    </w:p>
    <w:p>
      <w:pPr>
        <w:pStyle w:val="ListParagraph"/>
        <w:numPr>
          <w:ilvl w:val="0"/>
          <w:numId w:val="2"/>
        </w:numPr>
        <w:spacing w:after="80"/>
      </w:pPr>
      <w:r>
        <w:rPr>
          <w:sz w:val="21"/>
          <w:szCs w:val="21"/>
        </w:rPr>
        <w:t xml:space="preserve">Administrative overheads will not exceed five percent of the total CSR expenditure of the financial year.</w:t>
      </w:r>
    </w:p>
    <w:p>
      <w:pPr>
        <w:pStyle w:val="ListParagraph"/>
        <w:numPr>
          <w:ilvl w:val="0"/>
          <w:numId w:val="2"/>
        </w:numPr>
        <w:spacing w:after="80"/>
      </w:pPr>
      <w:r>
        <w:rPr>
          <w:sz w:val="21"/>
          <w:szCs w:val="21"/>
        </w:rPr>
        <w:t xml:space="preserve">Capital assets created from CSR funds will be held as permitted by Rule 7(4).</w:t>
      </w:r>
    </w:p>
    <w:p>
      <w:pPr>
        <w:pStyle w:val="Heading1"/>
        <w:spacing w:after="100" w:before="240"/>
      </w:pPr>
      <w:r>
        <w:rPr>
          <w:b/>
          <w:bCs/>
          <w:color w:val="24552C"/>
          <w:sz w:val="26"/>
          <w:szCs w:val="26"/>
        </w:rPr>
        <w:t xml:space="preserve">11. Monitoring, impact assessment and reporting</w:t>
      </w:r>
    </w:p>
    <w:p>
      <w:pPr>
        <w:spacing w:after="120"/>
      </w:pPr>
      <w:r>
        <w:rPr>
          <w:sz w:val="21"/>
          <w:szCs w:val="21"/>
        </w:rPr>
        <w:t xml:space="preserve">Projects will be monitored through [quarterly reports, geotagged photographs and field data, field visits by the Company, and beneficiary feedback collected independently]. Where the Company's average CSR obligation in the three immediately preceding financial years is ten crore rupees or more, it will undertake impact assessment through an independent agency for projects with outlays of one crore rupees or more that were completed at least one year before the study, and place the reports before the Board. [The Company may also commission voluntary assessments of other projects.] Findings will be used to improve or redesign projects.</w:t>
      </w:r>
    </w:p>
    <w:p>
      <w:pPr>
        <w:pStyle w:val="Heading1"/>
        <w:spacing w:after="100" w:before="240"/>
      </w:pPr>
      <w:r>
        <w:rPr>
          <w:b/>
          <w:bCs/>
          <w:color w:val="24552C"/>
          <w:sz w:val="26"/>
          <w:szCs w:val="26"/>
        </w:rPr>
        <w:t xml:space="preserve">12. Employee volunteering and stakeholder engagement</w:t>
      </w:r>
    </w:p>
    <w:p>
      <w:pPr>
        <w:spacing w:after="120"/>
      </w:pPr>
      <w:r>
        <w:rPr>
          <w:sz w:val="21"/>
          <w:szCs w:val="21"/>
        </w:rPr>
        <w:t xml:space="preserve">The Company encourages employees to volunteer in its CSR programmes [e.g. up to X hours of paid time per year]. The value of employee time will not be counted as CSR expenditure. The Company will consult communities and local authorities while designing projects and will provide a channel for community feedback and grievances.</w:t>
      </w:r>
    </w:p>
    <w:p>
      <w:pPr>
        <w:pStyle w:val="Heading1"/>
        <w:spacing w:after="100" w:before="240"/>
      </w:pPr>
      <w:r>
        <w:rPr>
          <w:b/>
          <w:bCs/>
          <w:color w:val="24552C"/>
          <w:sz w:val="26"/>
          <w:szCs w:val="26"/>
        </w:rPr>
        <w:t xml:space="preserve">13. Exclusions</w:t>
      </w:r>
    </w:p>
    <w:p>
      <w:pPr>
        <w:spacing w:after="120"/>
      </w:pPr>
      <w:r>
        <w:rPr>
          <w:sz w:val="21"/>
          <w:szCs w:val="21"/>
        </w:rPr>
        <w:t xml:space="preserve">The following will not be treated as CSR: activities undertaken in the normal course of business; activities outside India, except training of sportspersons representing a State, Union territory or India; contributions to political parties; activities benefiting only employees of the Company; sponsorship for marketing benefit; and activities undertaken to fulfil any other statutory obligation.</w:t>
      </w:r>
    </w:p>
    <w:p>
      <w:pPr>
        <w:pStyle w:val="Heading1"/>
        <w:spacing w:after="100" w:before="240"/>
      </w:pPr>
      <w:r>
        <w:rPr>
          <w:b/>
          <w:bCs/>
          <w:color w:val="24552C"/>
          <w:sz w:val="26"/>
          <w:szCs w:val="26"/>
        </w:rPr>
        <w:t xml:space="preserve">14. Disclosure</w:t>
      </w:r>
    </w:p>
    <w:p>
      <w:pPr>
        <w:spacing w:after="120"/>
      </w:pPr>
      <w:r>
        <w:rPr>
          <w:sz w:val="21"/>
          <w:szCs w:val="21"/>
        </w:rPr>
        <w:t xml:space="preserve">The composition of the CSR Committee, this Policy and the projects approved by the Board will be displayed on the Company's website. The annual report on CSR will be included in the Board's report in the prescribed format, Form CSR-2 will be filed, and relevant information will be reported in the Business Responsibility and Sustainability Report where applicable.</w:t>
      </w:r>
    </w:p>
    <w:p>
      <w:pPr>
        <w:pStyle w:val="Heading1"/>
        <w:spacing w:after="100" w:before="240"/>
      </w:pPr>
      <w:r>
        <w:rPr>
          <w:b/>
          <w:bCs/>
          <w:color w:val="24552C"/>
          <w:sz w:val="26"/>
          <w:szCs w:val="26"/>
        </w:rPr>
        <w:t xml:space="preserve">15. Review and amendment</w:t>
      </w:r>
    </w:p>
    <w:p>
      <w:pPr>
        <w:spacing w:after="120"/>
      </w:pPr>
      <w:r>
        <w:rPr>
          <w:sz w:val="21"/>
          <w:szCs w:val="21"/>
        </w:rPr>
        <w:t xml:space="preserve">The CSR Committee will review this Policy at least once a year and recommend changes to the Board. Any amendment to the Act or the Rules shall apply automatically, and this Policy shall be read accordingly.</w:t>
      </w:r>
    </w:p>
    <w:p>
      <w:pPr>
        <w:spacing w:after="120"/>
      </w:pPr>
      <w:r>
        <w:rPr>
          <w:sz w:val="21"/>
          <w:szCs w:val="21"/>
        </w:rPr>
        <w:t xml:space="preserve">Approved by the Board of Directors on [date].</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Model template by Earth5R · earth5r.org/guides/how-to-design-a-csr-policy ·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es9nsw-pksghxbpffmzr" Type="http://schemas.openxmlformats.org/officeDocument/2006/relationships/hyperlink" Target="https://earth5r.org/guides/how-to-design-a-csr-policy/"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CSR Policy Template (India)</dc:title>
  <dc:creator>Earth5R</dc:creator>
  <dc:description>Model CSR policy template under Section 135, by Earth5R</dc:description>
  <cp:lastModifiedBy>Un-named</cp:lastModifiedBy>
  <cp:revision>1</cp:revision>
  <dcterms:created xsi:type="dcterms:W3CDTF">2026-09-26T05:51:09.668Z</dcterms:created>
  <dcterms:modified xsi:type="dcterms:W3CDTF">2026-09-26T05:51:09.676Z</dcterms:modified>
</cp:coreProperties>
</file>

<file path=docProps/custom.xml><?xml version="1.0" encoding="utf-8"?>
<Properties xmlns="http://schemas.openxmlformats.org/officeDocument/2006/custom-properties" xmlns:vt="http://schemas.openxmlformats.org/officeDocument/2006/docPropsVTypes"/>
</file>