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3A7D44"/>
          <w:sz w:val="18"/>
          <w:szCs w:val="18"/>
        </w:rPr>
        <w:t xml:space="preserve">EARTH5R GUIDES · MODEL TEMPLATE</w:t>
      </w:r>
    </w:p>
    <w:p>
      <w:pPr>
        <w:pStyle w:val="Title"/>
      </w:pPr>
      <w:r>
        <w:rPr>
          <w:b/>
          <w:bCs/>
          <w:sz w:val="38"/>
          <w:szCs w:val="38"/>
        </w:rPr>
        <w:t xml:space="preserve">[Company name] Plastic Packaging Policy</w:t>
      </w:r>
    </w:p>
    <w:p>
      <w:pPr>
        <w:spacing w:after="200"/>
      </w:pPr>
      <w:r>
        <w:rPr>
          <w:i/>
          <w:iCs/>
          <w:color w:val="555555"/>
          <w:sz w:val="22"/>
          <w:szCs w:val="22"/>
        </w:rPr>
        <w:t xml:space="preserve">Model template for producers, importers and brand owners in India</w:t>
      </w:r>
    </w:p>
    <w:p>
      <w:pPr>
        <w:shd w:fill="E9F2EA" w:color="auto" w:val="clear"/>
        <w:spacing w:after="120"/>
      </w:pPr>
      <w:r>
        <w:rPr>
          <w:sz w:val="19"/>
          <w:szCs w:val="19"/>
        </w:rPr>
        <w:t xml:space="preserve">How to use this template: replace every item in [square brackets] and delete what does not apply. Align it with your EPR registration, packaging specifications and sustainability targets, and have it reviewed by your compliance and legal teams. Reflects the Plastic Waste Management Rules as amended to 31 March 2026. Not legal advice.</w:t>
      </w:r>
    </w:p>
    <w:p>
      <w:pPr>
        <w:shd w:fill="E9F2EA" w:color="auto" w:val="clear"/>
        <w:spacing w:after="300"/>
      </w:pPr>
      <w:r>
        <w:rPr>
          <w:sz w:val="19"/>
          <w:szCs w:val="19"/>
        </w:rPr>
        <w:t xml:space="preserve">Free to use and adapt, with credit: </w:t>
      </w:r>
      <w:hyperlink w:history="1" r:id="rId7_hh-6errwje354ro_cna">
        <w:r>
          <w:rPr>
            <w:rStyle w:val="Hyperlink"/>
            <w:sz w:val="19"/>
            <w:szCs w:val="19"/>
          </w:rPr>
          <w:t xml:space="preserve">Plastic Waste and EPR Guide, Earth5R Guides No. 04</w:t>
        </w:r>
      </w:hyperlink>
    </w:p>
    <w:p>
      <w:pPr>
        <w:pStyle w:val="Heading1"/>
        <w:spacing w:after="100" w:before="240"/>
      </w:pPr>
      <w:r>
        <w:rPr>
          <w:b/>
          <w:bCs/>
          <w:color w:val="24552C"/>
          <w:sz w:val="26"/>
          <w:szCs w:val="26"/>
        </w:rPr>
        <w:t xml:space="preserve">1. Purpose</w:t>
      </w:r>
    </w:p>
    <w:p>
      <w:pPr>
        <w:spacing w:after="120"/>
      </w:pPr>
      <w:r>
        <w:rPr>
          <w:sz w:val="21"/>
          <w:szCs w:val="21"/>
        </w:rPr>
        <w:t xml:space="preserve">This Policy sets out how [Company name] ("the Company") will meet its Extended Producer Responsibility (EPR) obligations under the Plastic Waste Management Rules, 2016, as amended, and go beyond compliance to reduce, redesign and recover the plastic in its packaging.</w:t>
      </w:r>
    </w:p>
    <w:p>
      <w:pPr>
        <w:pStyle w:val="Heading1"/>
        <w:spacing w:after="100" w:before="240"/>
      </w:pPr>
      <w:r>
        <w:rPr>
          <w:b/>
          <w:bCs/>
          <w:color w:val="24552C"/>
          <w:sz w:val="26"/>
          <w:szCs w:val="26"/>
        </w:rPr>
        <w:t xml:space="preserve">2. Scope</w:t>
      </w:r>
    </w:p>
    <w:p>
      <w:pPr>
        <w:spacing w:after="120"/>
      </w:pPr>
      <w:r>
        <w:rPr>
          <w:sz w:val="21"/>
          <w:szCs w:val="21"/>
        </w:rPr>
        <w:t xml:space="preserve">This Policy covers all plastic packaging the Company introduces into the Indian market as a [producer / importer / brand owner], across [all brands and SKUs], including pre-consumer plastic waste, and packaging used in its own operations.</w:t>
      </w:r>
    </w:p>
    <w:p>
      <w:pPr>
        <w:pStyle w:val="Heading1"/>
        <w:spacing w:after="100" w:before="240"/>
      </w:pPr>
      <w:r>
        <w:rPr>
          <w:b/>
          <w:bCs/>
          <w:color w:val="24552C"/>
          <w:sz w:val="26"/>
          <w:szCs w:val="26"/>
        </w:rPr>
        <w:t xml:space="preserve">3. Commitments</w:t>
      </w:r>
    </w:p>
    <w:p>
      <w:pPr>
        <w:pStyle w:val="ListParagraph"/>
        <w:numPr>
          <w:ilvl w:val="0"/>
          <w:numId w:val="2"/>
        </w:numPr>
        <w:spacing w:after="80"/>
      </w:pPr>
      <w:r>
        <w:rPr>
          <w:sz w:val="21"/>
          <w:szCs w:val="21"/>
        </w:rPr>
        <w:t xml:space="preserve">Comply: meet 100% of the EPR obligation every year, category by category, including minimum recycling, recycled content and reuse where applicable.</w:t>
      </w:r>
    </w:p>
    <w:p>
      <w:pPr>
        <w:pStyle w:val="ListParagraph"/>
        <w:numPr>
          <w:ilvl w:val="0"/>
          <w:numId w:val="2"/>
        </w:numPr>
        <w:spacing w:after="80"/>
      </w:pPr>
      <w:r>
        <w:rPr>
          <w:sz w:val="21"/>
          <w:szCs w:val="21"/>
        </w:rPr>
        <w:t xml:space="preserve">Reduce: cut the virgin plastic in our packaging by [X]% by [year] against a [year] baseline.</w:t>
      </w:r>
    </w:p>
    <w:p>
      <w:pPr>
        <w:pStyle w:val="ListParagraph"/>
        <w:numPr>
          <w:ilvl w:val="0"/>
          <w:numId w:val="2"/>
        </w:numPr>
        <w:spacing w:after="80"/>
      </w:pPr>
      <w:r>
        <w:rPr>
          <w:sz w:val="21"/>
          <w:szCs w:val="21"/>
        </w:rPr>
        <w:t xml:space="preserve">Redesign: make [X]% of packaging reusable, recyclable or compostable by [year], prioritising mono-material formats and eliminating unnecessary multilayer packaging.</w:t>
      </w:r>
    </w:p>
    <w:p>
      <w:pPr>
        <w:pStyle w:val="ListParagraph"/>
        <w:numPr>
          <w:ilvl w:val="0"/>
          <w:numId w:val="2"/>
        </w:numPr>
        <w:spacing w:after="80"/>
      </w:pPr>
      <w:r>
        <w:rPr>
          <w:sz w:val="21"/>
          <w:szCs w:val="21"/>
        </w:rPr>
        <w:t xml:space="preserve">Use recycled plastic: reach [X]% recycled content in rigid packaging by [year], ahead of the statutory minimum where food-safety rules allow.</w:t>
      </w:r>
    </w:p>
    <w:p>
      <w:pPr>
        <w:pStyle w:val="ListParagraph"/>
        <w:numPr>
          <w:ilvl w:val="0"/>
          <w:numId w:val="2"/>
        </w:numPr>
        <w:spacing w:after="80"/>
      </w:pPr>
      <w:r>
        <w:rPr>
          <w:sz w:val="21"/>
          <w:szCs w:val="21"/>
        </w:rPr>
        <w:t xml:space="preserve">Recover: support collection and recovery of plastic in the communities where our products are sold, beyond our EPR obligation.</w:t>
      </w:r>
    </w:p>
    <w:p>
      <w:pPr>
        <w:pStyle w:val="Heading1"/>
        <w:spacing w:after="100" w:before="240"/>
      </w:pPr>
      <w:r>
        <w:rPr>
          <w:b/>
          <w:bCs/>
          <w:color w:val="24552C"/>
          <w:sz w:val="26"/>
          <w:szCs w:val="26"/>
        </w:rPr>
        <w:t xml:space="preserve">4. EPR compliance</w:t>
      </w:r>
    </w:p>
    <w:p>
      <w:pPr>
        <w:pStyle w:val="ListParagraph"/>
        <w:numPr>
          <w:ilvl w:val="0"/>
          <w:numId w:val="2"/>
        </w:numPr>
        <w:spacing w:after="80"/>
      </w:pPr>
      <w:r>
        <w:rPr>
          <w:sz w:val="21"/>
          <w:szCs w:val="21"/>
        </w:rPr>
        <w:t xml:space="preserve">Registration: maintain registration on the CPCB centralised EPR portal and display the registration number on packaging as required.</w:t>
      </w:r>
    </w:p>
    <w:p>
      <w:pPr>
        <w:pStyle w:val="ListParagraph"/>
        <w:numPr>
          <w:ilvl w:val="0"/>
          <w:numId w:val="2"/>
        </w:numPr>
        <w:spacing w:after="80"/>
      </w:pPr>
      <w:r>
        <w:rPr>
          <w:sz w:val="21"/>
          <w:szCs w:val="21"/>
        </w:rPr>
        <w:t xml:space="preserve">Data: maintain an SKU-level register of packaging weight by category (I to IV) and state, reconciled with sales every [quarter].</w:t>
      </w:r>
    </w:p>
    <w:p>
      <w:pPr>
        <w:pStyle w:val="ListParagraph"/>
        <w:numPr>
          <w:ilvl w:val="0"/>
          <w:numId w:val="2"/>
        </w:numPr>
        <w:spacing w:after="80"/>
      </w:pPr>
      <w:r>
        <w:rPr>
          <w:sz w:val="21"/>
          <w:szCs w:val="21"/>
        </w:rPr>
        <w:t xml:space="preserve">Certificates: buy or generate EPR certificates only from registered plastic waste processors, after checking their registration, installed capacity and records. Keep portal transaction records for [X] years.</w:t>
      </w:r>
    </w:p>
    <w:p>
      <w:pPr>
        <w:pStyle w:val="ListParagraph"/>
        <w:numPr>
          <w:ilvl w:val="0"/>
          <w:numId w:val="2"/>
        </w:numPr>
        <w:spacing w:after="80"/>
      </w:pPr>
      <w:r>
        <w:rPr>
          <w:sz w:val="21"/>
          <w:szCs w:val="21"/>
        </w:rPr>
        <w:t xml:space="preserve">Returns: file the annual return on the portal by 30 June and check that our processors file by 30 April.</w:t>
      </w:r>
    </w:p>
    <w:p>
      <w:pPr>
        <w:pStyle w:val="ListParagraph"/>
        <w:numPr>
          <w:ilvl w:val="0"/>
          <w:numId w:val="2"/>
        </w:numPr>
        <w:spacing w:after="80"/>
      </w:pPr>
      <w:r>
        <w:rPr>
          <w:sz w:val="21"/>
          <w:szCs w:val="21"/>
        </w:rPr>
        <w:t xml:space="preserve">Shortfalls: any shortfall is reported to [the Board / Risk Committee] with a plan to close it; the Company recognises that environmental compensation does not remove the obligation.</w:t>
      </w:r>
    </w:p>
    <w:p>
      <w:pPr>
        <w:pStyle w:val="Heading1"/>
        <w:spacing w:after="100" w:before="240"/>
      </w:pPr>
      <w:r>
        <w:rPr>
          <w:b/>
          <w:bCs/>
          <w:color w:val="24552C"/>
          <w:sz w:val="26"/>
          <w:szCs w:val="26"/>
        </w:rPr>
        <w:t xml:space="preserve">5. Processor due diligence</w:t>
      </w:r>
    </w:p>
    <w:p>
      <w:pPr>
        <w:spacing w:after="120"/>
      </w:pPr>
      <w:r>
        <w:rPr>
          <w:sz w:val="21"/>
          <w:szCs w:val="21"/>
        </w:rPr>
        <w:t xml:space="preserve">Before contracting a plastic waste processor, the Company will check: CPCB/SPCB registration and category of processing; installed and actual capacity; GST and transport records; a site visit or independent audit for large volumes; and whether the processor works with informal waste pickers under fair and safe conditions.</w:t>
      </w:r>
    </w:p>
    <w:p>
      <w:pPr>
        <w:pStyle w:val="Heading1"/>
        <w:spacing w:after="100" w:before="240"/>
      </w:pPr>
      <w:r>
        <w:rPr>
          <w:b/>
          <w:bCs/>
          <w:color w:val="24552C"/>
          <w:sz w:val="26"/>
          <w:szCs w:val="26"/>
        </w:rPr>
        <w:t xml:space="preserve">6. Beyond compliance: community recovery</w:t>
      </w:r>
    </w:p>
    <w:p>
      <w:pPr>
        <w:spacing w:after="120"/>
      </w:pPr>
      <w:r>
        <w:rPr>
          <w:sz w:val="21"/>
          <w:szCs w:val="21"/>
        </w:rPr>
        <w:t xml:space="preserve">The Company may fund community plastic recovery programmes, such as segregation training, collection points and support for waste pickers, as CSR or wider ESG work. Because EPR is a statutory obligation, CSR funds will not be used to meet EPR targets, and plastic recovered through CSR programmes will not be counted towards EPR unless routed through registered processors and the EPR portal in line with the Rules.</w:t>
      </w:r>
    </w:p>
    <w:p>
      <w:pPr>
        <w:pStyle w:val="Heading1"/>
        <w:spacing w:after="100" w:before="240"/>
      </w:pPr>
      <w:r>
        <w:rPr>
          <w:b/>
          <w:bCs/>
          <w:color w:val="24552C"/>
          <w:sz w:val="26"/>
          <w:szCs w:val="26"/>
        </w:rPr>
        <w:t xml:space="preserve">7. Claims</w:t>
      </w:r>
    </w:p>
    <w:p>
      <w:pPr>
        <w:pStyle w:val="ListParagraph"/>
        <w:numPr>
          <w:ilvl w:val="0"/>
          <w:numId w:val="2"/>
        </w:numPr>
        <w:spacing w:after="80"/>
      </w:pPr>
      <w:r>
        <w:rPr>
          <w:sz w:val="21"/>
          <w:szCs w:val="21"/>
        </w:rPr>
        <w:t xml:space="preserve">Claims such as "plastic neutral", "recyclable", "made with recycled plastic" or "compostable" will be made only when backed by verifiable data and, where applicable, the labelling requirements of the Rules and relevant Indian Standards.</w:t>
      </w:r>
    </w:p>
    <w:p>
      <w:pPr>
        <w:pStyle w:val="ListParagraph"/>
        <w:numPr>
          <w:ilvl w:val="0"/>
          <w:numId w:val="2"/>
        </w:numPr>
        <w:spacing w:after="80"/>
      </w:pPr>
      <w:r>
        <w:rPr>
          <w:sz w:val="21"/>
          <w:szCs w:val="21"/>
        </w:rPr>
        <w:t xml:space="preserve">Recycling or recovery figures will state the year, category, method and verification.</w:t>
      </w:r>
    </w:p>
    <w:p>
      <w:pPr>
        <w:pStyle w:val="ListParagraph"/>
        <w:numPr>
          <w:ilvl w:val="0"/>
          <w:numId w:val="2"/>
        </w:numPr>
        <w:spacing w:after="80"/>
      </w:pPr>
      <w:r>
        <w:rPr>
          <w:sz w:val="21"/>
          <w:szCs w:val="21"/>
        </w:rPr>
        <w:t xml:space="preserve">Avoided emissions will be reported as estimated avoided emissions with the factor stated, never as carbon credits unless credits are issued and retired.</w:t>
      </w:r>
    </w:p>
    <w:p>
      <w:pPr>
        <w:pStyle w:val="Heading1"/>
        <w:spacing w:after="100" w:before="240"/>
      </w:pPr>
      <w:r>
        <w:rPr>
          <w:b/>
          <w:bCs/>
          <w:color w:val="24552C"/>
          <w:sz w:val="26"/>
          <w:szCs w:val="26"/>
        </w:rPr>
        <w:t xml:space="preserve">8. Governance</w:t>
      </w:r>
    </w:p>
    <w:p>
      <w:pPr>
        <w:pStyle w:val="ListParagraph"/>
        <w:numPr>
          <w:ilvl w:val="0"/>
          <w:numId w:val="2"/>
        </w:numPr>
        <w:spacing w:after="80"/>
      </w:pPr>
      <w:r>
        <w:rPr>
          <w:sz w:val="21"/>
          <w:szCs w:val="21"/>
        </w:rPr>
        <w:t xml:space="preserve">Owner: [designation, e.g. Head of Packaging / Sustainability] is accountable for this Policy.</w:t>
      </w:r>
    </w:p>
    <w:p>
      <w:pPr>
        <w:pStyle w:val="ListParagraph"/>
        <w:numPr>
          <w:ilvl w:val="0"/>
          <w:numId w:val="2"/>
        </w:numPr>
        <w:spacing w:after="80"/>
      </w:pPr>
      <w:r>
        <w:rPr>
          <w:sz w:val="21"/>
          <w:szCs w:val="21"/>
        </w:rPr>
        <w:t xml:space="preserve">Compliance: [designation] manages registration, certificates and returns.</w:t>
      </w:r>
    </w:p>
    <w:p>
      <w:pPr>
        <w:pStyle w:val="ListParagraph"/>
        <w:numPr>
          <w:ilvl w:val="0"/>
          <w:numId w:val="2"/>
        </w:numPr>
        <w:spacing w:after="80"/>
      </w:pPr>
      <w:r>
        <w:rPr>
          <w:sz w:val="21"/>
          <w:szCs w:val="21"/>
        </w:rPr>
        <w:t xml:space="preserve">Oversight: [Board / Risk / ESG Committee] reviews EPR status and plastic targets [twice a year].</w:t>
      </w:r>
    </w:p>
    <w:p>
      <w:pPr>
        <w:pStyle w:val="Heading1"/>
        <w:spacing w:after="100" w:before="240"/>
      </w:pPr>
      <w:r>
        <w:rPr>
          <w:b/>
          <w:bCs/>
          <w:color w:val="24552C"/>
          <w:sz w:val="26"/>
          <w:szCs w:val="26"/>
        </w:rPr>
        <w:t xml:space="preserve">9. Reporting</w:t>
      </w:r>
    </w:p>
    <w:p>
      <w:pPr>
        <w:spacing w:after="120"/>
      </w:pPr>
      <w:r>
        <w:rPr>
          <w:sz w:val="21"/>
          <w:szCs w:val="21"/>
        </w:rPr>
        <w:t xml:space="preserve">The Company will report plastic packaging placed on the market, plastic reclaimed under EPR, recycled content and progress on targets in its [annual report / BRSR / sustainability report], including BRSR Principle 2 and Principle 6 disclosures where applicable.</w:t>
      </w:r>
    </w:p>
    <w:p>
      <w:pPr>
        <w:pStyle w:val="Heading1"/>
        <w:spacing w:after="100" w:before="240"/>
      </w:pPr>
      <w:r>
        <w:rPr>
          <w:b/>
          <w:bCs/>
          <w:color w:val="24552C"/>
          <w:sz w:val="26"/>
          <w:szCs w:val="26"/>
        </w:rPr>
        <w:t xml:space="preserve">10. Review</w:t>
      </w:r>
    </w:p>
    <w:p>
      <w:pPr>
        <w:spacing w:after="120"/>
      </w:pPr>
      <w:r>
        <w:rPr>
          <w:sz w:val="21"/>
          <w:szCs w:val="21"/>
        </w:rPr>
        <w:t xml:space="preserve">This Policy will be reviewed every year and whenever the Plastic Waste Management Rules are amended. Approved by [authority] on [date].</w:t>
      </w:r>
    </w:p>
    <w:sectPr>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Model template by Earth5R · earth5r.org/guides/plastic-waste-epr-guide · Not legal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_hh-6errwje354ro_cna" Type="http://schemas.openxmlformats.org/officeDocument/2006/relationships/hyperlink" Target="https://earth5r.org/guides/plastic-waste-epr-guide/"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[Company name] Plastic Packaging Policy</dc:title>
  <dc:creator>Earth5R</dc:creator>
  <cp:lastModifiedBy>Un-named</cp:lastModifiedBy>
  <cp:revision>1</cp:revision>
  <dcterms:created xsi:type="dcterms:W3CDTF">2026-09-26T07:04:57.266Z</dcterms:created>
  <dcterms:modified xsi:type="dcterms:W3CDTF">2026-09-26T07:04:57.275Z</dcterms:modified>
</cp:coreProperties>
</file>

<file path=docProps/custom.xml><?xml version="1.0" encoding="utf-8"?>
<Properties xmlns="http://schemas.openxmlformats.org/officeDocument/2006/custom-properties" xmlns:vt="http://schemas.openxmlformats.org/officeDocument/2006/docPropsVTypes"/>
</file>